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189" w:name="_GoBack"/>
            <w:bookmarkEnd w:id="189"/>
            <w:r>
              <w:rPr>
                <w:rFonts w:ascii="黑体" w:hAnsi="黑体" w:eastAsia="黑体"/>
                <w:sz w:val="21"/>
                <w:szCs w:val="21"/>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1"/>
                    <w:framePr w:wrap="notBeside" w:vAnchor="page" w:hAnchor="page" w:x="1372" w:y="568"/>
                    <w:ind w:left="420" w:right="624"/>
                    <w:rPr>
                      <w:rFonts w:ascii="黑体" w:hAnsi="黑体" w:eastAsia="黑体"/>
                      <w:sz w:val="28"/>
                      <w:szCs w:val="28"/>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pPr>
        <w:pStyle w:val="52"/>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97"/>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198"/>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bookmarkStart w:id="5" w:name="CSTD_NAME"/>
      <w:r>
        <w:fldChar w:fldCharType="begin">
          <w:ffData>
            <w:name w:val="CSTD_NAME"/>
            <w:enabled/>
            <w:calcOnExit w:val="0"/>
            <w:textInput>
              <w:default w:val="光伏组件用封装胶膜中酸含量的测试方法"/>
            </w:textInput>
          </w:ffData>
        </w:fldChar>
      </w:r>
      <w:r>
        <w:instrText xml:space="preserve">FORMTEXT</w:instrText>
      </w:r>
      <w:r>
        <w:fldChar w:fldCharType="separate"/>
      </w:r>
      <w:r>
        <w:t>光伏组件用封装胶膜中酸含量的测试方法</w:t>
      </w:r>
      <w:r>
        <w:fldChar w:fldCharType="end"/>
      </w:r>
      <w:bookmarkEnd w:id="5"/>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6" w:name="ESTD_NAME"/>
      <w:r>
        <w:rPr>
          <w:rFonts w:hint="eastAsia" w:ascii="黑体" w:hAnsi="黑体" w:eastAsia="黑体" w:cs="黑体"/>
          <w:szCs w:val="28"/>
        </w:rPr>
        <w:fldChar w:fldCharType="begin">
          <w:ffData>
            <w:name w:val="ESTD_NAME"/>
            <w:enabled/>
            <w:calcOnExit w:val="0"/>
            <w:textInput>
              <w:default w:val="Test method of acid content in encapsulant film for photovoltaic module"/>
            </w:textInput>
          </w:ffData>
        </w:fldChar>
      </w:r>
      <w:r>
        <w:rPr>
          <w:rFonts w:hint="eastAsia" w:ascii="黑体" w:hAnsi="黑体" w:eastAsia="黑体" w:cs="黑体"/>
          <w:szCs w:val="28"/>
        </w:rPr>
        <w:instrText xml:space="preserve">FORMTEXT</w:instrText>
      </w:r>
      <w:r>
        <w:rPr>
          <w:rFonts w:hint="eastAsia" w:ascii="黑体" w:hAnsi="黑体" w:eastAsia="黑体" w:cs="黑体"/>
          <w:szCs w:val="28"/>
        </w:rPr>
        <w:fldChar w:fldCharType="separate"/>
      </w:r>
      <w:r>
        <w:rPr>
          <w:rFonts w:hint="eastAsia" w:ascii="黑体" w:hAnsi="黑体" w:eastAsia="黑体" w:cs="黑体"/>
          <w:szCs w:val="28"/>
        </w:rPr>
        <w:t>Test method of acid content in encapsulant film for photovoltaic module</w:t>
      </w:r>
      <w:r>
        <w:rPr>
          <w:rFonts w:hint="eastAsia" w:ascii="黑体" w:hAnsi="黑体" w:eastAsia="黑体" w:cs="黑体"/>
          <w:szCs w:val="28"/>
        </w:rPr>
        <w:fldChar w:fldCharType="end"/>
      </w:r>
      <w:bookmarkEnd w:id="6"/>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5"/>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3"/>
        <w:framePr w:h="584" w:hRule="exact" w:hSpace="181" w:vSpace="181" w:wrap="around" w:y="14800"/>
        <w:rPr>
          <w:rFonts w:hAnsi="黑体"/>
        </w:rPr>
      </w:pPr>
      <w:bookmarkStart w:id="15" w:name="fm"/>
      <w:r>
        <w:rPr>
          <w:rFonts w:hAnsi="黑体"/>
          <w:w w:val="100"/>
          <w:sz w:val="28"/>
        </w:rPr>
        <w:fldChar w:fldCharType="begin">
          <w:ffData>
            <w:name w:val="fm"/>
            <w:enabled/>
            <w:calcOnExit w:val="0"/>
            <w:textInput>
              <w:default w:val="中国光伏行业协会"/>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中国光伏行业协会</w:t>
      </w:r>
      <w:r>
        <w:rPr>
          <w:rFonts w:hAnsi="黑体"/>
          <w:w w:val="100"/>
          <w:sz w:val="28"/>
        </w:rPr>
        <w:fldChar w:fldCharType="end"/>
      </w:r>
      <w:bookmarkEnd w:id="15"/>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before="567" w:after="680" w:afterLines="0"/>
      </w:pPr>
      <w:bookmarkStart w:id="16" w:name="BookMark1"/>
      <w:bookmarkStart w:id="17" w:name="_Toc14189"/>
      <w:bookmarkStart w:id="18" w:name="_Toc79045634"/>
      <w:bookmarkStart w:id="19" w:name="_Toc79504496"/>
      <w:r>
        <w:rPr>
          <w:rFonts w:hint="eastAsia"/>
          <w:spacing w:val="320"/>
        </w:rPr>
        <w:t>目</w:t>
      </w:r>
      <w:r>
        <w:rPr>
          <w:rFonts w:hint="eastAsia"/>
        </w:rPr>
        <w:t>次</w:t>
      </w:r>
    </w:p>
    <w:p>
      <w:pPr>
        <w:pStyle w:val="20"/>
        <w:tabs>
          <w:tab w:val="right" w:leader="dot" w:pos="9354"/>
        </w:tabs>
        <w:spacing w:before="79" w:beforeLines="25" w:after="79" w:afterLines="25" w:line="240" w:lineRule="auto"/>
        <w:rPr>
          <w:rFonts w:hint="eastAsia" w:hAnsi="宋体" w:cs="宋体"/>
        </w:rPr>
      </w:pPr>
      <w:r>
        <w:fldChar w:fldCharType="begin"/>
      </w:r>
      <w:r>
        <w:instrText xml:space="preserve"> TOC \o "1-1" \h \t "标准文件_一级条标题,2,标准文件_附录一级条标题,2," </w:instrText>
      </w:r>
      <w:r>
        <w:fldChar w:fldCharType="separate"/>
      </w:r>
      <w:r>
        <w:rPr>
          <w:rFonts w:hint="eastAsia" w:hAnsi="宋体" w:cs="宋体"/>
        </w:rPr>
        <w:fldChar w:fldCharType="begin"/>
      </w:r>
      <w:r>
        <w:rPr>
          <w:rFonts w:hint="eastAsia" w:hAnsi="宋体" w:cs="宋体"/>
        </w:rPr>
        <w:instrText xml:space="preserve"> HYPERLINK \l _Toc22513 </w:instrText>
      </w:r>
      <w:r>
        <w:rPr>
          <w:rFonts w:hint="eastAsia" w:hAnsi="宋体" w:cs="宋体"/>
        </w:rPr>
        <w:fldChar w:fldCharType="separate"/>
      </w:r>
      <w:r>
        <w:rPr>
          <w:rFonts w:hint="eastAsia" w:hAnsi="宋体" w:cs="宋体"/>
          <w:spacing w:val="0"/>
        </w:rPr>
        <w:t>前</w:t>
      </w:r>
      <w:r>
        <w:rPr>
          <w:rFonts w:hint="eastAsia" w:hAnsi="宋体" w:cs="宋体"/>
        </w:rPr>
        <w:t>言</w:t>
      </w:r>
      <w:r>
        <w:rPr>
          <w:rFonts w:hint="eastAsia" w:hAnsi="宋体" w:cs="宋体"/>
        </w:rPr>
        <w:tab/>
      </w:r>
      <w:r>
        <w:rPr>
          <w:rFonts w:hint="eastAsia" w:hAnsi="宋体" w:cs="宋体"/>
        </w:rPr>
        <w:fldChar w:fldCharType="begin"/>
      </w:r>
      <w:r>
        <w:rPr>
          <w:rFonts w:hint="eastAsia" w:hAnsi="宋体" w:cs="宋体"/>
        </w:rPr>
        <w:instrText xml:space="preserve"> PAGEREF _Toc22513 \h </w:instrText>
      </w:r>
      <w:r>
        <w:rPr>
          <w:rFonts w:hint="eastAsia" w:hAnsi="宋体" w:cs="宋体"/>
        </w:rPr>
        <w:fldChar w:fldCharType="separate"/>
      </w:r>
      <w:r>
        <w:rPr>
          <w:rFonts w:hint="eastAsia" w:hAnsi="宋体" w:cs="宋体"/>
        </w:rPr>
        <w:t>III</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_Toc2023 </w:instrText>
      </w:r>
      <w:r>
        <w:rPr>
          <w:rFonts w:hint="eastAsia" w:hAnsi="宋体" w:cs="宋体"/>
        </w:rPr>
        <w:fldChar w:fldCharType="separate"/>
      </w:r>
      <w:r>
        <w:rPr>
          <w:rFonts w:hint="eastAsia" w:ascii="宋体" w:hAnsi="宋体" w:eastAsia="宋体" w:cs="宋体"/>
          <w:i w:val="0"/>
        </w:rPr>
        <w:t xml:space="preserve">1 </w:t>
      </w:r>
      <w:r>
        <w:rPr>
          <w:rFonts w:hint="eastAsia" w:hAnsi="宋体" w:cs="宋体"/>
          <w:i w:val="0"/>
          <w:lang w:val="en-US" w:eastAsia="zh-CN"/>
        </w:rPr>
        <w:t xml:space="preserve"> </w:t>
      </w:r>
      <w:r>
        <w:rPr>
          <w:rFonts w:hint="eastAsia" w:hAnsi="宋体" w:cs="宋体"/>
        </w:rPr>
        <w:t>范围</w:t>
      </w:r>
      <w:r>
        <w:rPr>
          <w:rFonts w:hint="eastAsia" w:hAnsi="宋体" w:cs="宋体"/>
        </w:rPr>
        <w:tab/>
      </w:r>
      <w:r>
        <w:rPr>
          <w:rFonts w:hint="eastAsia" w:hAnsi="宋体" w:cs="宋体"/>
        </w:rPr>
        <w:fldChar w:fldCharType="begin"/>
      </w:r>
      <w:r>
        <w:rPr>
          <w:rFonts w:hint="eastAsia" w:hAnsi="宋体" w:cs="宋体"/>
        </w:rPr>
        <w:instrText xml:space="preserve"> PAGEREF _Toc2023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_Toc20340 </w:instrText>
      </w:r>
      <w:r>
        <w:rPr>
          <w:rFonts w:hint="eastAsia" w:hAnsi="宋体" w:cs="宋体"/>
        </w:rPr>
        <w:fldChar w:fldCharType="separate"/>
      </w:r>
      <w:r>
        <w:rPr>
          <w:rFonts w:hint="eastAsia" w:ascii="宋体" w:hAnsi="宋体" w:eastAsia="宋体" w:cs="宋体"/>
          <w:i w:val="0"/>
        </w:rPr>
        <w:t xml:space="preserve">2 </w:t>
      </w:r>
      <w:r>
        <w:rPr>
          <w:rFonts w:hint="eastAsia" w:hAnsi="宋体" w:cs="宋体"/>
          <w:i w:val="0"/>
          <w:lang w:val="en-US" w:eastAsia="zh-CN"/>
        </w:rPr>
        <w:t xml:space="preserve"> </w:t>
      </w:r>
      <w:r>
        <w:rPr>
          <w:rFonts w:hint="eastAsia" w:hAnsi="宋体" w:cs="宋体"/>
          <w:szCs w:val="21"/>
        </w:rPr>
        <w:t>规范性</w:t>
      </w:r>
      <w:r>
        <w:rPr>
          <w:rFonts w:hint="eastAsia" w:hAnsi="宋体" w:cs="宋体"/>
        </w:rPr>
        <w:t>引用文件</w:t>
      </w:r>
      <w:r>
        <w:rPr>
          <w:rFonts w:hint="eastAsia" w:hAnsi="宋体" w:cs="宋体"/>
        </w:rPr>
        <w:tab/>
      </w:r>
      <w:r>
        <w:rPr>
          <w:rFonts w:hint="eastAsia" w:hAnsi="宋体" w:cs="宋体"/>
        </w:rPr>
        <w:fldChar w:fldCharType="begin"/>
      </w:r>
      <w:r>
        <w:rPr>
          <w:rFonts w:hint="eastAsia" w:hAnsi="宋体" w:cs="宋体"/>
        </w:rPr>
        <w:instrText xml:space="preserve"> PAGEREF _Toc20340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_Toc16241 </w:instrText>
      </w:r>
      <w:r>
        <w:rPr>
          <w:rFonts w:hint="eastAsia" w:hAnsi="宋体" w:cs="宋体"/>
        </w:rPr>
        <w:fldChar w:fldCharType="separate"/>
      </w:r>
      <w:r>
        <w:rPr>
          <w:rFonts w:hint="eastAsia" w:ascii="宋体" w:hAnsi="宋体" w:eastAsia="宋体" w:cs="宋体"/>
          <w:i w:val="0"/>
        </w:rPr>
        <w:t xml:space="preserve">3 </w:t>
      </w:r>
      <w:r>
        <w:rPr>
          <w:rFonts w:hint="eastAsia" w:hAnsi="宋体" w:cs="宋体"/>
          <w:i w:val="0"/>
          <w:lang w:val="en-US" w:eastAsia="zh-CN"/>
        </w:rPr>
        <w:t xml:space="preserve"> </w:t>
      </w:r>
      <w:r>
        <w:rPr>
          <w:rFonts w:hint="eastAsia" w:hAnsi="宋体" w:cs="宋体"/>
          <w:szCs w:val="21"/>
        </w:rPr>
        <w:t>术语和定义</w:t>
      </w:r>
      <w:r>
        <w:rPr>
          <w:rFonts w:hint="eastAsia" w:hAnsi="宋体" w:cs="宋体"/>
        </w:rPr>
        <w:tab/>
      </w:r>
      <w:r>
        <w:rPr>
          <w:rFonts w:hint="eastAsia" w:hAnsi="宋体" w:cs="宋体"/>
        </w:rPr>
        <w:fldChar w:fldCharType="begin"/>
      </w:r>
      <w:r>
        <w:rPr>
          <w:rFonts w:hint="eastAsia" w:hAnsi="宋体" w:cs="宋体"/>
        </w:rPr>
        <w:instrText xml:space="preserve"> PAGEREF _Toc16241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_Toc29886 </w:instrText>
      </w:r>
      <w:r>
        <w:rPr>
          <w:rFonts w:hint="eastAsia" w:hAnsi="宋体" w:cs="宋体"/>
        </w:rPr>
        <w:fldChar w:fldCharType="separate"/>
      </w:r>
      <w:r>
        <w:rPr>
          <w:rFonts w:hint="eastAsia" w:ascii="宋体" w:hAnsi="宋体" w:eastAsia="宋体" w:cs="宋体"/>
          <w:i w:val="0"/>
          <w:kern w:val="2"/>
          <w:szCs w:val="21"/>
        </w:rPr>
        <w:t xml:space="preserve">4 </w:t>
      </w:r>
      <w:r>
        <w:rPr>
          <w:rFonts w:hint="eastAsia" w:hAnsi="宋体" w:cs="宋体"/>
          <w:i w:val="0"/>
          <w:kern w:val="2"/>
          <w:szCs w:val="21"/>
          <w:lang w:val="en-US" w:eastAsia="zh-CN"/>
        </w:rPr>
        <w:t xml:space="preserve"> </w:t>
      </w:r>
      <w:r>
        <w:rPr>
          <w:rFonts w:hint="eastAsia" w:hAnsi="宋体" w:cs="宋体"/>
        </w:rPr>
        <w:t>比色滴定法测定酸值</w:t>
      </w:r>
      <w:r>
        <w:rPr>
          <w:rFonts w:hint="eastAsia" w:hAnsi="宋体" w:cs="宋体"/>
        </w:rPr>
        <w:tab/>
      </w:r>
      <w:r>
        <w:rPr>
          <w:rFonts w:hint="eastAsia" w:hAnsi="宋体" w:cs="宋体"/>
        </w:rPr>
        <w:fldChar w:fldCharType="begin"/>
      </w:r>
      <w:r>
        <w:rPr>
          <w:rFonts w:hint="eastAsia" w:hAnsi="宋体" w:cs="宋体"/>
        </w:rPr>
        <w:instrText xml:space="preserve"> PAGEREF _Toc29886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_Toc31103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原理</w:t>
      </w:r>
      <w:r>
        <w:rPr>
          <w:rFonts w:hint="eastAsia" w:hAnsi="宋体" w:cs="宋体"/>
        </w:rPr>
        <w:tab/>
      </w:r>
      <w:r>
        <w:rPr>
          <w:rFonts w:hint="eastAsia" w:hAnsi="宋体" w:cs="宋体"/>
        </w:rPr>
        <w:fldChar w:fldCharType="begin"/>
      </w:r>
      <w:r>
        <w:rPr>
          <w:rFonts w:hint="eastAsia" w:hAnsi="宋体" w:cs="宋体"/>
        </w:rPr>
        <w:instrText xml:space="preserve"> PAGEREF _Toc31103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_Toc8177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试剂与材料</w:t>
      </w:r>
      <w:r>
        <w:rPr>
          <w:rFonts w:hint="eastAsia" w:hAnsi="宋体" w:cs="宋体"/>
        </w:rPr>
        <w:tab/>
      </w:r>
      <w:r>
        <w:rPr>
          <w:rFonts w:hint="eastAsia" w:hAnsi="宋体" w:cs="宋体"/>
        </w:rPr>
        <w:fldChar w:fldCharType="begin"/>
      </w:r>
      <w:r>
        <w:rPr>
          <w:rFonts w:hint="eastAsia" w:hAnsi="宋体" w:cs="宋体"/>
        </w:rPr>
        <w:instrText xml:space="preserve"> PAGEREF _Toc8177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_Toc26218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仪器与设备</w:t>
      </w:r>
      <w:r>
        <w:rPr>
          <w:rFonts w:hint="eastAsia" w:hAnsi="宋体" w:cs="宋体"/>
        </w:rPr>
        <w:tab/>
      </w:r>
      <w:r>
        <w:rPr>
          <w:rFonts w:hint="eastAsia" w:hAnsi="宋体" w:cs="宋体"/>
        </w:rPr>
        <w:fldChar w:fldCharType="begin"/>
      </w:r>
      <w:r>
        <w:rPr>
          <w:rFonts w:hint="eastAsia" w:hAnsi="宋体" w:cs="宋体"/>
        </w:rPr>
        <w:instrText xml:space="preserve"> PAGEREF _Toc26218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_Toc7617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试样</w:t>
      </w:r>
      <w:r>
        <w:rPr>
          <w:rFonts w:hint="eastAsia" w:hAnsi="宋体" w:cs="宋体"/>
        </w:rPr>
        <w:tab/>
      </w:r>
      <w:r>
        <w:rPr>
          <w:rFonts w:hint="eastAsia" w:hAnsi="宋体" w:cs="宋体"/>
        </w:rPr>
        <w:fldChar w:fldCharType="begin"/>
      </w:r>
      <w:r>
        <w:rPr>
          <w:rFonts w:hint="eastAsia" w:hAnsi="宋体" w:cs="宋体"/>
        </w:rPr>
        <w:instrText xml:space="preserve"> PAGEREF _Toc7617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_Toc28398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4.5</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试样制备</w:t>
      </w:r>
      <w:r>
        <w:rPr>
          <w:rFonts w:hint="eastAsia" w:hAnsi="宋体" w:cs="宋体"/>
        </w:rPr>
        <w:tab/>
      </w:r>
      <w:r>
        <w:rPr>
          <w:rFonts w:hint="eastAsia" w:hAnsi="宋体" w:cs="宋体"/>
        </w:rPr>
        <w:fldChar w:fldCharType="begin"/>
      </w:r>
      <w:r>
        <w:rPr>
          <w:rFonts w:hint="eastAsia" w:hAnsi="宋体" w:cs="宋体"/>
        </w:rPr>
        <w:instrText xml:space="preserve"> PAGEREF _Toc28398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_Toc3965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4.6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酸值的滴定</w:t>
      </w:r>
      <w:r>
        <w:rPr>
          <w:rFonts w:hint="eastAsia" w:hAnsi="宋体" w:cs="宋体"/>
        </w:rPr>
        <w:tab/>
      </w:r>
      <w:r>
        <w:rPr>
          <w:rFonts w:hint="eastAsia" w:hAnsi="宋体" w:cs="宋体"/>
        </w:rPr>
        <w:fldChar w:fldCharType="begin"/>
      </w:r>
      <w:r>
        <w:rPr>
          <w:rFonts w:hint="eastAsia" w:hAnsi="宋体" w:cs="宋体"/>
        </w:rPr>
        <w:instrText xml:space="preserve"> PAGEREF _Toc3965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_Toc17529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4.7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结果计算</w:t>
      </w:r>
      <w:r>
        <w:rPr>
          <w:rFonts w:hint="eastAsia" w:hAnsi="宋体" w:cs="宋体"/>
        </w:rPr>
        <w:tab/>
      </w:r>
      <w:r>
        <w:rPr>
          <w:rFonts w:hint="eastAsia" w:hAnsi="宋体" w:cs="宋体"/>
        </w:rPr>
        <w:fldChar w:fldCharType="begin"/>
      </w:r>
      <w:r>
        <w:rPr>
          <w:rFonts w:hint="eastAsia" w:hAnsi="宋体" w:cs="宋体"/>
        </w:rPr>
        <w:instrText xml:space="preserve"> PAGEREF _Toc17529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_Toc10428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4.8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结果表示</w:t>
      </w:r>
      <w:r>
        <w:rPr>
          <w:rFonts w:hint="eastAsia" w:hAnsi="宋体" w:cs="宋体"/>
        </w:rPr>
        <w:tab/>
      </w:r>
      <w:r>
        <w:rPr>
          <w:rFonts w:hint="eastAsia" w:hAnsi="宋体" w:cs="宋体"/>
        </w:rPr>
        <w:fldChar w:fldCharType="begin"/>
      </w:r>
      <w:r>
        <w:rPr>
          <w:rFonts w:hint="eastAsia" w:hAnsi="宋体" w:cs="宋体"/>
        </w:rPr>
        <w:instrText xml:space="preserve"> PAGEREF _Toc10428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_Toc23740 </w:instrText>
      </w:r>
      <w:r>
        <w:rPr>
          <w:rFonts w:hint="eastAsia" w:hAnsi="宋体" w:cs="宋体"/>
        </w:rPr>
        <w:fldChar w:fldCharType="separate"/>
      </w:r>
      <w:r>
        <w:rPr>
          <w:rFonts w:hint="eastAsia" w:ascii="宋体" w:hAnsi="宋体" w:eastAsia="宋体" w:cs="宋体"/>
          <w:i w:val="0"/>
        </w:rPr>
        <w:t>5</w:t>
      </w:r>
      <w:r>
        <w:rPr>
          <w:rFonts w:hint="eastAsia" w:hAnsi="宋体" w:cs="宋体"/>
          <w:i w:val="0"/>
          <w:lang w:val="en-US" w:eastAsia="zh-CN"/>
        </w:rPr>
        <w:t xml:space="preserve"> </w:t>
      </w:r>
      <w:r>
        <w:rPr>
          <w:rFonts w:hint="eastAsia" w:ascii="宋体" w:hAnsi="宋体" w:eastAsia="宋体" w:cs="宋体"/>
          <w:i w:val="0"/>
        </w:rPr>
        <w:t xml:space="preserve"> </w:t>
      </w:r>
      <w:r>
        <w:rPr>
          <w:rFonts w:hint="eastAsia" w:hAnsi="宋体" w:cs="宋体"/>
        </w:rPr>
        <w:t>高效</w:t>
      </w:r>
      <w:r>
        <w:rPr>
          <w:rFonts w:hint="eastAsia" w:hAnsi="宋体" w:cs="宋体"/>
          <w:szCs w:val="21"/>
        </w:rPr>
        <w:t>液相</w:t>
      </w:r>
      <w:r>
        <w:rPr>
          <w:rFonts w:hint="eastAsia" w:hAnsi="宋体" w:cs="宋体"/>
        </w:rPr>
        <w:t>色谱法测定醋酸及醋酸根含量</w:t>
      </w:r>
      <w:r>
        <w:rPr>
          <w:rFonts w:hint="eastAsia" w:hAnsi="宋体" w:cs="宋体"/>
        </w:rPr>
        <w:tab/>
      </w:r>
      <w:r>
        <w:rPr>
          <w:rFonts w:hint="eastAsia" w:hAnsi="宋体" w:cs="宋体"/>
        </w:rPr>
        <w:fldChar w:fldCharType="begin"/>
      </w:r>
      <w:r>
        <w:rPr>
          <w:rFonts w:hint="eastAsia" w:hAnsi="宋体" w:cs="宋体"/>
        </w:rPr>
        <w:instrText xml:space="preserve"> PAGEREF _Toc23740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_Toc7955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5.1</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原理</w:t>
      </w:r>
      <w:r>
        <w:rPr>
          <w:rFonts w:hint="eastAsia" w:hAnsi="宋体" w:cs="宋体"/>
        </w:rPr>
        <w:tab/>
      </w:r>
      <w:r>
        <w:rPr>
          <w:rFonts w:hint="eastAsia" w:hAnsi="宋体" w:cs="宋体"/>
        </w:rPr>
        <w:fldChar w:fldCharType="begin"/>
      </w:r>
      <w:r>
        <w:rPr>
          <w:rFonts w:hint="eastAsia" w:hAnsi="宋体" w:cs="宋体"/>
        </w:rPr>
        <w:instrText xml:space="preserve"> PAGEREF _Toc7955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_Toc31481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5.2</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试剂与材料</w:t>
      </w:r>
      <w:r>
        <w:rPr>
          <w:rFonts w:hint="eastAsia" w:hAnsi="宋体" w:cs="宋体"/>
        </w:rPr>
        <w:tab/>
      </w:r>
      <w:r>
        <w:rPr>
          <w:rFonts w:hint="eastAsia" w:hAnsi="宋体" w:cs="宋体"/>
        </w:rPr>
        <w:fldChar w:fldCharType="begin"/>
      </w:r>
      <w:r>
        <w:rPr>
          <w:rFonts w:hint="eastAsia" w:hAnsi="宋体" w:cs="宋体"/>
        </w:rPr>
        <w:instrText xml:space="preserve"> PAGEREF _Toc31481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_Toc1204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5.3</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仪器与设备</w:t>
      </w:r>
      <w:r>
        <w:rPr>
          <w:rFonts w:hint="eastAsia" w:hAnsi="宋体" w:cs="宋体"/>
        </w:rPr>
        <w:tab/>
      </w:r>
      <w:r>
        <w:rPr>
          <w:rFonts w:hint="eastAsia" w:hAnsi="宋体" w:cs="宋体"/>
        </w:rPr>
        <w:fldChar w:fldCharType="begin"/>
      </w:r>
      <w:r>
        <w:rPr>
          <w:rFonts w:hint="eastAsia" w:hAnsi="宋体" w:cs="宋体"/>
        </w:rPr>
        <w:instrText xml:space="preserve"> PAGEREF _Toc1204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_Toc15533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5.4</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试样</w:t>
      </w:r>
      <w:r>
        <w:rPr>
          <w:rFonts w:hint="eastAsia" w:hAnsi="宋体" w:cs="宋体"/>
        </w:rPr>
        <w:tab/>
      </w:r>
      <w:r>
        <w:rPr>
          <w:rFonts w:hint="eastAsia" w:hAnsi="宋体" w:cs="宋体"/>
        </w:rPr>
        <w:fldChar w:fldCharType="begin"/>
      </w:r>
      <w:r>
        <w:rPr>
          <w:rFonts w:hint="eastAsia" w:hAnsi="宋体" w:cs="宋体"/>
        </w:rPr>
        <w:instrText xml:space="preserve"> PAGEREF _Toc15533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_Toc19700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试验步骤</w:t>
      </w:r>
      <w:r>
        <w:rPr>
          <w:rFonts w:hint="eastAsia" w:hAnsi="宋体" w:cs="宋体"/>
        </w:rPr>
        <w:tab/>
      </w:r>
      <w:r>
        <w:rPr>
          <w:rFonts w:hint="eastAsia" w:hAnsi="宋体" w:cs="宋体"/>
        </w:rPr>
        <w:fldChar w:fldCharType="begin"/>
      </w:r>
      <w:r>
        <w:rPr>
          <w:rFonts w:hint="eastAsia" w:hAnsi="宋体" w:cs="宋体"/>
        </w:rPr>
        <w:instrText xml:space="preserve"> PAGEREF _Toc19700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_Toc3196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结果计算</w:t>
      </w:r>
      <w:r>
        <w:rPr>
          <w:rFonts w:hint="eastAsia" w:hAnsi="宋体" w:cs="宋体"/>
        </w:rPr>
        <w:tab/>
      </w:r>
      <w:r>
        <w:rPr>
          <w:rFonts w:hint="eastAsia" w:hAnsi="宋体" w:cs="宋体"/>
        </w:rPr>
        <w:fldChar w:fldCharType="begin"/>
      </w:r>
      <w:r>
        <w:rPr>
          <w:rFonts w:hint="eastAsia" w:hAnsi="宋体" w:cs="宋体"/>
        </w:rPr>
        <w:instrText xml:space="preserve"> PAGEREF _Toc3196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_Toc29184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5.7</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重复性</w:t>
      </w:r>
      <w:r>
        <w:rPr>
          <w:rFonts w:hint="eastAsia" w:hAnsi="宋体" w:cs="宋体"/>
        </w:rPr>
        <w:tab/>
      </w:r>
      <w:r>
        <w:rPr>
          <w:rFonts w:hint="eastAsia" w:hAnsi="宋体" w:cs="宋体"/>
        </w:rPr>
        <w:fldChar w:fldCharType="begin"/>
      </w:r>
      <w:r>
        <w:rPr>
          <w:rFonts w:hint="eastAsia" w:hAnsi="宋体" w:cs="宋体"/>
        </w:rPr>
        <w:instrText xml:space="preserve"> PAGEREF _Toc29184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_Toc13707 </w:instrText>
      </w:r>
      <w:r>
        <w:rPr>
          <w:rFonts w:hint="eastAsia" w:hAnsi="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5.8</w:t>
      </w:r>
      <w:r>
        <w:rPr>
          <w:rFonts w:hint="eastAsia" w:hAnsi="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hAnsi="宋体" w:cs="宋体"/>
        </w:rPr>
        <w:t>检出限和定量限</w:t>
      </w:r>
      <w:r>
        <w:rPr>
          <w:rFonts w:hint="eastAsia" w:hAnsi="宋体" w:cs="宋体"/>
        </w:rPr>
        <w:tab/>
      </w:r>
      <w:r>
        <w:rPr>
          <w:rFonts w:hint="eastAsia" w:hAnsi="宋体" w:cs="宋体"/>
        </w:rPr>
        <w:fldChar w:fldCharType="begin"/>
      </w:r>
      <w:r>
        <w:rPr>
          <w:rFonts w:hint="eastAsia" w:hAnsi="宋体" w:cs="宋体"/>
        </w:rPr>
        <w:instrText xml:space="preserve"> PAGEREF _Toc13707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_Toc11603 </w:instrText>
      </w:r>
      <w:r>
        <w:rPr>
          <w:rFonts w:hint="eastAsia" w:hAnsi="宋体" w:cs="宋体"/>
        </w:rPr>
        <w:fldChar w:fldCharType="separate"/>
      </w:r>
      <w:r>
        <w:rPr>
          <w:rFonts w:hint="eastAsia" w:ascii="宋体" w:hAnsi="宋体" w:eastAsia="宋体" w:cs="宋体"/>
          <w:i w:val="0"/>
        </w:rPr>
        <w:t xml:space="preserve">6 </w:t>
      </w:r>
      <w:r>
        <w:rPr>
          <w:rFonts w:hint="eastAsia" w:hAnsi="宋体" w:cs="宋体"/>
          <w:i w:val="0"/>
          <w:lang w:val="en-US" w:eastAsia="zh-CN"/>
        </w:rPr>
        <w:t xml:space="preserve"> </w:t>
      </w:r>
      <w:r>
        <w:rPr>
          <w:rFonts w:hint="eastAsia" w:hAnsi="宋体" w:cs="宋体"/>
        </w:rPr>
        <w:t>质量</w:t>
      </w:r>
      <w:r>
        <w:rPr>
          <w:rFonts w:hint="eastAsia" w:hAnsi="宋体" w:cs="宋体"/>
          <w:szCs w:val="21"/>
        </w:rPr>
        <w:t>保证</w:t>
      </w:r>
      <w:r>
        <w:rPr>
          <w:rFonts w:hint="eastAsia" w:hAnsi="宋体" w:cs="宋体"/>
        </w:rPr>
        <w:t>和控制</w:t>
      </w:r>
      <w:r>
        <w:rPr>
          <w:rFonts w:hint="eastAsia" w:hAnsi="宋体" w:cs="宋体"/>
        </w:rPr>
        <w:tab/>
      </w:r>
      <w:r>
        <w:rPr>
          <w:rFonts w:hint="eastAsia" w:hAnsi="宋体" w:cs="宋体"/>
        </w:rPr>
        <w:fldChar w:fldCharType="begin"/>
      </w:r>
      <w:r>
        <w:rPr>
          <w:rFonts w:hint="eastAsia" w:hAnsi="宋体" w:cs="宋体"/>
        </w:rPr>
        <w:instrText xml:space="preserve"> PAGEREF _Toc11603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_Toc25266 </w:instrText>
      </w:r>
      <w:r>
        <w:rPr>
          <w:rFonts w:hint="eastAsia" w:hAnsi="宋体" w:cs="宋体"/>
        </w:rPr>
        <w:fldChar w:fldCharType="separate"/>
      </w:r>
      <w:r>
        <w:rPr>
          <w:rFonts w:hint="eastAsia" w:ascii="宋体" w:hAnsi="宋体" w:eastAsia="宋体" w:cs="宋体"/>
          <w:i w:val="0"/>
        </w:rPr>
        <w:t xml:space="preserve">7 </w:t>
      </w:r>
      <w:r>
        <w:rPr>
          <w:rFonts w:hint="eastAsia" w:hAnsi="宋体" w:cs="宋体"/>
          <w:i w:val="0"/>
          <w:lang w:val="en-US" w:eastAsia="zh-CN"/>
        </w:rPr>
        <w:t xml:space="preserve"> </w:t>
      </w:r>
      <w:r>
        <w:rPr>
          <w:rFonts w:hint="eastAsia" w:hAnsi="宋体" w:cs="宋体"/>
        </w:rPr>
        <w:t>报告</w:t>
      </w:r>
      <w:r>
        <w:rPr>
          <w:rFonts w:hint="eastAsia" w:hAnsi="宋体" w:cs="宋体"/>
        </w:rPr>
        <w:tab/>
      </w:r>
      <w:r>
        <w:rPr>
          <w:rFonts w:hint="eastAsia" w:hAnsi="宋体" w:cs="宋体"/>
        </w:rPr>
        <w:fldChar w:fldCharType="begin"/>
      </w:r>
      <w:r>
        <w:rPr>
          <w:rFonts w:hint="eastAsia" w:hAnsi="宋体" w:cs="宋体"/>
        </w:rPr>
        <w:instrText xml:space="preserve"> PAGEREF _Toc25266 \h </w:instrText>
      </w:r>
      <w:r>
        <w:rPr>
          <w:rFonts w:hint="eastAsia" w:hAnsi="宋体" w:cs="宋体"/>
        </w:rPr>
        <w:fldChar w:fldCharType="separate"/>
      </w:r>
      <w:r>
        <w:rPr>
          <w:rFonts w:hint="eastAsia" w:hAnsi="宋体" w:cs="宋体"/>
        </w:rPr>
        <w:t>5</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_Toc161 </w:instrText>
      </w:r>
      <w:r>
        <w:rPr>
          <w:rFonts w:hint="eastAsia" w:hAnsi="宋体" w:cs="宋体"/>
        </w:rPr>
        <w:fldChar w:fldCharType="separate"/>
      </w:r>
      <w:r>
        <w:rPr>
          <w:rFonts w:hint="eastAsia" w:hAnsi="宋体" w:cs="宋体"/>
          <w:spacing w:val="0"/>
        </w:rPr>
        <w:t>附录A</w:t>
      </w:r>
      <w:r>
        <w:rPr>
          <w:rFonts w:hint="eastAsia" w:hAnsi="宋体" w:cs="宋体"/>
        </w:rPr>
        <w:t xml:space="preserve">（规范性） </w:t>
      </w:r>
      <w:r>
        <w:rPr>
          <w:rFonts w:hint="eastAsia" w:hAnsi="宋体" w:cs="宋体"/>
          <w:lang w:val="en-US" w:eastAsia="zh-CN"/>
        </w:rPr>
        <w:t xml:space="preserve"> </w:t>
      </w:r>
      <w:r>
        <w:rPr>
          <w:rFonts w:hint="eastAsia" w:hAnsi="宋体" w:cs="宋体"/>
        </w:rPr>
        <w:t>KOH乙醇标准滴定溶液配制与标定</w:t>
      </w:r>
      <w:r>
        <w:rPr>
          <w:rFonts w:hint="eastAsia" w:hAnsi="宋体" w:cs="宋体"/>
        </w:rPr>
        <w:tab/>
      </w:r>
      <w:r>
        <w:rPr>
          <w:rFonts w:hint="eastAsia" w:hAnsi="宋体" w:cs="宋体"/>
        </w:rPr>
        <w:fldChar w:fldCharType="begin"/>
      </w:r>
      <w:r>
        <w:rPr>
          <w:rFonts w:hint="eastAsia" w:hAnsi="宋体" w:cs="宋体"/>
        </w:rPr>
        <w:instrText xml:space="preserve"> PAGEREF _Toc161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_Toc28709 </w:instrText>
      </w:r>
      <w:r>
        <w:rPr>
          <w:rFonts w:hint="eastAsia" w:hAnsi="宋体" w:cs="宋体"/>
        </w:rPr>
        <w:fldChar w:fldCharType="separate"/>
      </w:r>
      <w:r>
        <w:rPr>
          <w:rFonts w:hint="eastAsia" w:ascii="宋体" w:hAnsi="宋体" w:eastAsia="宋体" w:cs="宋体"/>
          <w:i w:val="0"/>
        </w:rPr>
        <w:t xml:space="preserve">A.1 </w:t>
      </w:r>
      <w:r>
        <w:rPr>
          <w:rFonts w:hint="eastAsia" w:hAnsi="宋体" w:cs="宋体"/>
          <w:i w:val="0"/>
          <w:lang w:val="en-US" w:eastAsia="zh-CN"/>
        </w:rPr>
        <w:t xml:space="preserve"> </w:t>
      </w:r>
      <w:r>
        <w:rPr>
          <w:rFonts w:hint="eastAsia" w:hAnsi="宋体" w:cs="宋体"/>
        </w:rPr>
        <w:t>试剂和仪器</w:t>
      </w:r>
      <w:r>
        <w:rPr>
          <w:rFonts w:hint="eastAsia" w:hAnsi="宋体" w:cs="宋体"/>
        </w:rPr>
        <w:tab/>
      </w:r>
      <w:r>
        <w:rPr>
          <w:rFonts w:hint="eastAsia" w:hAnsi="宋体" w:cs="宋体"/>
        </w:rPr>
        <w:fldChar w:fldCharType="begin"/>
      </w:r>
      <w:r>
        <w:rPr>
          <w:rFonts w:hint="eastAsia" w:hAnsi="宋体" w:cs="宋体"/>
        </w:rPr>
        <w:instrText xml:space="preserve"> PAGEREF _Toc28709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_Toc31570 </w:instrText>
      </w:r>
      <w:r>
        <w:rPr>
          <w:rFonts w:hint="eastAsia" w:hAnsi="宋体" w:cs="宋体"/>
        </w:rPr>
        <w:fldChar w:fldCharType="separate"/>
      </w:r>
      <w:r>
        <w:rPr>
          <w:rFonts w:hint="eastAsia" w:ascii="宋体" w:hAnsi="宋体" w:eastAsia="宋体" w:cs="宋体"/>
          <w:i w:val="0"/>
        </w:rPr>
        <w:t xml:space="preserve">A.2 </w:t>
      </w:r>
      <w:r>
        <w:rPr>
          <w:rFonts w:hint="eastAsia" w:hAnsi="宋体" w:cs="宋体"/>
          <w:i w:val="0"/>
          <w:lang w:val="en-US" w:eastAsia="zh-CN"/>
        </w:rPr>
        <w:t xml:space="preserve"> </w:t>
      </w:r>
      <w:r>
        <w:rPr>
          <w:rFonts w:hint="eastAsia" w:hAnsi="宋体" w:cs="宋体"/>
        </w:rPr>
        <w:t>溶液的配制</w:t>
      </w:r>
      <w:r>
        <w:rPr>
          <w:rFonts w:hint="eastAsia" w:hAnsi="宋体" w:cs="宋体"/>
        </w:rPr>
        <w:tab/>
      </w:r>
      <w:r>
        <w:rPr>
          <w:rFonts w:hint="eastAsia" w:hAnsi="宋体" w:cs="宋体"/>
        </w:rPr>
        <w:fldChar w:fldCharType="begin"/>
      </w:r>
      <w:r>
        <w:rPr>
          <w:rFonts w:hint="eastAsia" w:hAnsi="宋体" w:cs="宋体"/>
        </w:rPr>
        <w:instrText xml:space="preserve"> PAGEREF _Toc31570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_Toc27532 </w:instrText>
      </w:r>
      <w:r>
        <w:rPr>
          <w:rFonts w:hint="eastAsia" w:hAnsi="宋体" w:cs="宋体"/>
        </w:rPr>
        <w:fldChar w:fldCharType="separate"/>
      </w:r>
      <w:r>
        <w:rPr>
          <w:rFonts w:hint="eastAsia" w:ascii="宋体" w:hAnsi="宋体" w:eastAsia="宋体" w:cs="宋体"/>
          <w:i w:val="0"/>
        </w:rPr>
        <w:t xml:space="preserve">A.3 </w:t>
      </w:r>
      <w:r>
        <w:rPr>
          <w:rFonts w:hint="eastAsia" w:hAnsi="宋体" w:cs="宋体"/>
          <w:i w:val="0"/>
          <w:lang w:val="en-US" w:eastAsia="zh-CN"/>
        </w:rPr>
        <w:t xml:space="preserve"> </w:t>
      </w:r>
      <w:r>
        <w:rPr>
          <w:rFonts w:hint="eastAsia" w:hAnsi="宋体" w:cs="宋体"/>
        </w:rPr>
        <w:t>标定</w:t>
      </w:r>
      <w:r>
        <w:rPr>
          <w:rFonts w:hint="eastAsia" w:hAnsi="宋体" w:cs="宋体"/>
        </w:rPr>
        <w:tab/>
      </w:r>
      <w:r>
        <w:rPr>
          <w:rFonts w:hint="eastAsia" w:hAnsi="宋体" w:cs="宋体"/>
        </w:rPr>
        <w:fldChar w:fldCharType="begin"/>
      </w:r>
      <w:r>
        <w:rPr>
          <w:rFonts w:hint="eastAsia" w:hAnsi="宋体" w:cs="宋体"/>
        </w:rPr>
        <w:instrText xml:space="preserve"> PAGEREF _Toc27532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int="eastAsia" w:hAnsi="宋体" w:cs="宋体"/>
        </w:rPr>
      </w:pPr>
      <w:r>
        <w:rPr>
          <w:rFonts w:hint="eastAsia" w:hAnsi="宋体" w:cs="宋体"/>
        </w:rPr>
        <w:fldChar w:fldCharType="begin"/>
      </w:r>
      <w:r>
        <w:rPr>
          <w:rFonts w:hint="eastAsia" w:hAnsi="宋体" w:cs="宋体"/>
        </w:rPr>
        <w:instrText xml:space="preserve"> HYPERLINK \l _Toc18641 </w:instrText>
      </w:r>
      <w:r>
        <w:rPr>
          <w:rFonts w:hint="eastAsia" w:hAnsi="宋体" w:cs="宋体"/>
        </w:rPr>
        <w:fldChar w:fldCharType="separate"/>
      </w:r>
      <w:r>
        <w:rPr>
          <w:rFonts w:hint="eastAsia" w:ascii="宋体" w:hAnsi="宋体" w:eastAsia="宋体" w:cs="宋体"/>
          <w:i w:val="0"/>
        </w:rPr>
        <w:t xml:space="preserve">A.4 </w:t>
      </w:r>
      <w:r>
        <w:rPr>
          <w:rFonts w:hint="eastAsia" w:hAnsi="宋体" w:cs="宋体"/>
          <w:i w:val="0"/>
          <w:lang w:val="en-US" w:eastAsia="zh-CN"/>
        </w:rPr>
        <w:t xml:space="preserve"> </w:t>
      </w:r>
      <w:r>
        <w:rPr>
          <w:rFonts w:hint="eastAsia" w:hAnsi="宋体" w:cs="宋体"/>
        </w:rPr>
        <w:t>计算</w:t>
      </w:r>
      <w:r>
        <w:rPr>
          <w:rFonts w:hint="eastAsia" w:hAnsi="宋体" w:cs="宋体"/>
        </w:rPr>
        <w:tab/>
      </w:r>
      <w:r>
        <w:rPr>
          <w:rFonts w:hint="eastAsia" w:hAnsi="宋体" w:cs="宋体"/>
        </w:rPr>
        <w:fldChar w:fldCharType="begin"/>
      </w:r>
      <w:r>
        <w:rPr>
          <w:rFonts w:hint="eastAsia" w:hAnsi="宋体" w:cs="宋体"/>
        </w:rPr>
        <w:instrText xml:space="preserve"> PAGEREF _Toc18641 \h </w:instrText>
      </w:r>
      <w:r>
        <w:rPr>
          <w:rFonts w:hint="eastAsia" w:hAnsi="宋体" w:cs="宋体"/>
        </w:rPr>
        <w:fldChar w:fldCharType="separate"/>
      </w:r>
      <w:r>
        <w:rPr>
          <w:rFonts w:hint="eastAsia" w:hAnsi="宋体" w:cs="宋体"/>
        </w:rPr>
        <w:t>7</w:t>
      </w:r>
      <w:r>
        <w:rPr>
          <w:rFonts w:hint="eastAsia" w:hAnsi="宋体" w:cs="宋体"/>
        </w:rPr>
        <w:fldChar w:fldCharType="end"/>
      </w:r>
      <w:r>
        <w:rPr>
          <w:rFonts w:hint="eastAsia" w:hAnsi="宋体" w:cs="宋体"/>
        </w:rPr>
        <w:fldChar w:fldCharType="end"/>
      </w:r>
    </w:p>
    <w:p>
      <w:pPr>
        <w:pStyle w:val="20"/>
        <w:tabs>
          <w:tab w:val="right" w:leader="dot" w:pos="9354"/>
        </w:tabs>
        <w:spacing w:before="79" w:beforeLines="25" w:after="79" w:afterLines="25" w:line="240" w:lineRule="auto"/>
        <w:rPr>
          <w:rFonts w:hint="eastAsia" w:hAnsi="宋体" w:cs="宋体"/>
        </w:rPr>
      </w:pPr>
      <w:r>
        <w:rPr>
          <w:rFonts w:hint="eastAsia" w:hAnsi="宋体" w:cs="宋体"/>
        </w:rPr>
        <w:fldChar w:fldCharType="begin"/>
      </w:r>
      <w:r>
        <w:rPr>
          <w:rFonts w:hint="eastAsia" w:hAnsi="宋体" w:cs="宋体"/>
        </w:rPr>
        <w:instrText xml:space="preserve"> HYPERLINK \l _Toc15768 </w:instrText>
      </w:r>
      <w:r>
        <w:rPr>
          <w:rFonts w:hint="eastAsia" w:hAnsi="宋体" w:cs="宋体"/>
        </w:rPr>
        <w:fldChar w:fldCharType="separate"/>
      </w:r>
      <w:r>
        <w:rPr>
          <w:rFonts w:hint="eastAsia" w:hAnsi="宋体" w:cs="宋体"/>
          <w:spacing w:val="0"/>
        </w:rPr>
        <w:t>参考文</w:t>
      </w:r>
      <w:r>
        <w:rPr>
          <w:rFonts w:hint="eastAsia" w:hAnsi="宋体" w:cs="宋体"/>
        </w:rPr>
        <w:t>献</w:t>
      </w:r>
      <w:r>
        <w:rPr>
          <w:rFonts w:hint="eastAsia" w:hAnsi="宋体" w:cs="宋体"/>
        </w:rPr>
        <w:tab/>
      </w:r>
      <w:r>
        <w:rPr>
          <w:rFonts w:hint="eastAsia" w:hAnsi="宋体" w:cs="宋体"/>
        </w:rPr>
        <w:fldChar w:fldCharType="begin"/>
      </w:r>
      <w:r>
        <w:rPr>
          <w:rFonts w:hint="eastAsia" w:hAnsi="宋体" w:cs="宋体"/>
        </w:rPr>
        <w:instrText xml:space="preserve"> PAGEREF _Toc15768 \h </w:instrText>
      </w:r>
      <w:r>
        <w:rPr>
          <w:rFonts w:hint="eastAsia" w:hAnsi="宋体" w:cs="宋体"/>
        </w:rPr>
        <w:fldChar w:fldCharType="separate"/>
      </w:r>
      <w:r>
        <w:rPr>
          <w:rFonts w:hint="eastAsia" w:hAnsi="宋体" w:cs="宋体"/>
        </w:rPr>
        <w:t>9</w:t>
      </w:r>
      <w:r>
        <w:rPr>
          <w:rFonts w:hint="eastAsia" w:hAnsi="宋体" w:cs="宋体"/>
        </w:rPr>
        <w:fldChar w:fldCharType="end"/>
      </w:r>
      <w:r>
        <w:rPr>
          <w:rFonts w:hint="eastAsia" w:hAnsi="宋体" w:cs="宋体"/>
        </w:rPr>
        <w:fldChar w:fldCharType="end"/>
      </w:r>
    </w:p>
    <w:p>
      <w:pPr>
        <w:pStyle w:val="93"/>
        <w:spacing w:after="0" w:afterLines="0"/>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r>
        <w:fldChar w:fldCharType="end"/>
      </w:r>
    </w:p>
    <w:bookmarkEnd w:id="16"/>
    <w:p>
      <w:pPr>
        <w:pStyle w:val="91"/>
        <w:spacing w:before="567" w:after="680" w:afterLines="0"/>
      </w:pPr>
      <w:bookmarkStart w:id="20" w:name="_Toc8737"/>
      <w:bookmarkStart w:id="21" w:name="_Toc22513"/>
      <w:bookmarkStart w:id="22" w:name="_Toc79505678"/>
      <w:bookmarkStart w:id="23" w:name="BookMark2"/>
      <w:r>
        <w:rPr>
          <w:spacing w:val="320"/>
        </w:rPr>
        <w:t>前</w:t>
      </w:r>
      <w:r>
        <w:t>言</w:t>
      </w:r>
      <w:bookmarkEnd w:id="17"/>
      <w:bookmarkEnd w:id="18"/>
      <w:bookmarkEnd w:id="19"/>
      <w:bookmarkEnd w:id="20"/>
      <w:bookmarkEnd w:id="21"/>
      <w:bookmarkEnd w:id="22"/>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本文件由中国光伏行业协会标准化技术委员会归口。</w:t>
      </w:r>
    </w:p>
    <w:p>
      <w:pPr>
        <w:pStyle w:val="58"/>
        <w:ind w:firstLine="420"/>
      </w:pPr>
      <w:r>
        <w:rPr>
          <w:rFonts w:hint="eastAsia"/>
        </w:rPr>
        <w:t>本文件起草单位：</w:t>
      </w:r>
    </w:p>
    <w:p>
      <w:pPr>
        <w:pStyle w:val="58"/>
        <w:ind w:firstLine="420"/>
      </w:pPr>
      <w:r>
        <w:rPr>
          <w:rFonts w:hint="eastAsia"/>
        </w:rPr>
        <w:t>本文件主要起草人：</w:t>
      </w:r>
    </w:p>
    <w:p>
      <w:pPr>
        <w:pStyle w:val="58"/>
        <w:ind w:firstLine="420"/>
      </w:pPr>
    </w:p>
    <w:p>
      <w:pPr>
        <w:pStyle w:val="58"/>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start="3"/>
          <w:cols w:space="425" w:num="1"/>
          <w:formProt w:val="0"/>
          <w:docGrid w:linePitch="312" w:charSpace="0"/>
        </w:sectPr>
      </w:pPr>
    </w:p>
    <w:bookmarkEnd w:id="23"/>
    <w:sdt>
      <w:sdtPr>
        <w:tag w:val="NEW_STAND_NAME"/>
        <w:id w:val="595910757"/>
        <w:lock w:val="sdtLocked"/>
        <w:placeholder>
          <w:docPart w:val="37BCCEF4DA094EE1A3EA89D73B495B65"/>
        </w:placeholder>
      </w:sdtPr>
      <w:sdtContent>
        <w:p>
          <w:pPr>
            <w:pStyle w:val="179"/>
            <w:spacing w:before="567" w:after="680" w:line="240" w:lineRule="auto"/>
          </w:pPr>
          <w:bookmarkStart w:id="24" w:name="NEW_STAND_NAME"/>
          <w:bookmarkStart w:id="25" w:name="BookMark4"/>
          <w:r>
            <w:rPr>
              <w:rFonts w:hint="eastAsia"/>
            </w:rPr>
            <w:t>光伏组件用封装胶膜中酸含量的测试方法</w:t>
          </w:r>
        </w:p>
      </w:sdtContent>
    </w:sdt>
    <w:bookmarkEnd w:id="24"/>
    <w:p>
      <w:pPr>
        <w:pStyle w:val="106"/>
        <w:spacing w:before="240" w:after="240"/>
      </w:pPr>
      <w:bookmarkStart w:id="26" w:name="_Toc26986771"/>
      <w:bookmarkStart w:id="27" w:name="_Toc26986530"/>
      <w:bookmarkStart w:id="28" w:name="_Toc79505680"/>
      <w:bookmarkStart w:id="29" w:name="_Toc24884211"/>
      <w:bookmarkStart w:id="30" w:name="_Toc79045635"/>
      <w:bookmarkStart w:id="31" w:name="_Toc22928"/>
      <w:bookmarkStart w:id="32" w:name="_Toc79504498"/>
      <w:bookmarkStart w:id="33" w:name="_Toc26718930"/>
      <w:bookmarkStart w:id="34" w:name="_Toc17233325"/>
      <w:bookmarkStart w:id="35" w:name="_Toc17233333"/>
      <w:bookmarkStart w:id="36" w:name="_Toc2023"/>
      <w:bookmarkStart w:id="37" w:name="_Toc10800"/>
      <w:bookmarkStart w:id="38" w:name="_Toc26648465"/>
      <w:bookmarkStart w:id="39" w:name="_Toc24884218"/>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58"/>
        <w:autoSpaceDE w:val="0"/>
        <w:autoSpaceDN w:val="0"/>
        <w:ind w:firstLine="420" w:firstLineChars="200"/>
      </w:pPr>
      <w:bookmarkStart w:id="40" w:name="_Toc24884212"/>
      <w:bookmarkStart w:id="41" w:name="_Toc17233326"/>
      <w:bookmarkStart w:id="42" w:name="_Toc17233334"/>
      <w:bookmarkStart w:id="43" w:name="_Toc26648466"/>
      <w:bookmarkStart w:id="44" w:name="_Toc24884219"/>
      <w:r>
        <w:rPr>
          <w:rFonts w:hint="eastAsia"/>
        </w:rPr>
        <w:t>本文件规定了光伏组件用封装胶膜酸值（比色滴定法）及醋酸/醋酸根含量（高效液相色谱法）的测试方法。</w:t>
      </w:r>
    </w:p>
    <w:p>
      <w:pPr>
        <w:pStyle w:val="58"/>
        <w:autoSpaceDE w:val="0"/>
        <w:autoSpaceDN w:val="0"/>
        <w:ind w:firstLine="420" w:firstLineChars="200"/>
      </w:pPr>
      <w:r>
        <w:rPr>
          <w:rFonts w:hint="eastAsia"/>
        </w:rPr>
        <w:t>本文件适用于光伏组件用封装胶膜，其中醋酸/醋酸根含量测试仅适用于原料中包含乙烯-醋酸乙烯酯共聚物（EVA）的封装胶膜。</w:t>
      </w:r>
    </w:p>
    <w:p>
      <w:pPr>
        <w:pStyle w:val="106"/>
        <w:spacing w:before="240" w:after="240"/>
      </w:pPr>
      <w:bookmarkStart w:id="45" w:name="_Toc138669863"/>
      <w:bookmarkStart w:id="46" w:name="_Toc137213640"/>
      <w:bookmarkStart w:id="47" w:name="_Toc25436"/>
      <w:bookmarkStart w:id="48" w:name="_Toc138684697"/>
      <w:bookmarkStart w:id="49" w:name="_Toc97192965"/>
      <w:bookmarkStart w:id="50" w:name="_Toc137213676"/>
      <w:bookmarkStart w:id="51" w:name="_Toc137213714"/>
      <w:bookmarkStart w:id="52" w:name="_Toc137216885"/>
      <w:bookmarkStart w:id="53" w:name="_Toc20340"/>
      <w:r>
        <w:rPr>
          <w:rFonts w:hint="eastAsia"/>
          <w:szCs w:val="21"/>
        </w:rPr>
        <w:t>规范性</w:t>
      </w:r>
      <w:r>
        <w:rPr>
          <w:rFonts w:hint="eastAsia"/>
        </w:rPr>
        <w:t>引用文件</w:t>
      </w:r>
      <w:bookmarkEnd w:id="45"/>
      <w:bookmarkEnd w:id="46"/>
      <w:bookmarkEnd w:id="47"/>
      <w:bookmarkEnd w:id="48"/>
      <w:bookmarkEnd w:id="49"/>
      <w:bookmarkEnd w:id="50"/>
      <w:bookmarkEnd w:id="51"/>
      <w:bookmarkEnd w:id="52"/>
      <w:bookmarkEnd w:id="53"/>
    </w:p>
    <w:sdt>
      <w:sdtPr>
        <w:rPr>
          <w:rFonts w:hint="eastAsia"/>
        </w:rPr>
        <w:id w:val="715848253"/>
        <w:placeholder>
          <w:docPart w:val="{ac3625a8-63fc-4bdf-918f-f935b5cef7b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rPr>
      </w:sdtEndPr>
      <w:sdtContent>
        <w:p>
          <w:pPr>
            <w:autoSpaceDE w:val="0"/>
            <w:autoSpaceDN w:val="0"/>
            <w:spacing w:line="240" w:lineRule="auto"/>
            <w:ind w:firstLine="420" w:firstLineChars="200"/>
            <w:rPr>
              <w:rFonts w:ascii="宋体" w:hAnsi="Times New Roman"/>
            </w:rPr>
          </w:pPr>
          <w:r>
            <w:rPr>
              <w:rFonts w:hint="eastAsia" w:ascii="宋体"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autoSpaceDE w:val="0"/>
        <w:autoSpaceDN w:val="0"/>
        <w:ind w:firstLine="420" w:firstLineChars="200"/>
      </w:pPr>
      <w:r>
        <w:t xml:space="preserve">GB/T 603 </w:t>
      </w:r>
      <w:r>
        <w:rPr>
          <w:rFonts w:hint="eastAsia"/>
          <w:lang w:val="en-US" w:eastAsia="zh-CN"/>
        </w:rPr>
        <w:t xml:space="preserve"> </w:t>
      </w:r>
      <w:r>
        <w:t>化学试剂</w:t>
      </w:r>
      <w:r>
        <w:rPr>
          <w:rFonts w:hint="eastAsia"/>
        </w:rPr>
        <w:t xml:space="preserve">  试验方法中所用制剂及制品的制备</w:t>
      </w:r>
    </w:p>
    <w:p>
      <w:pPr>
        <w:pStyle w:val="58"/>
        <w:autoSpaceDE w:val="0"/>
        <w:autoSpaceDN w:val="0"/>
        <w:ind w:firstLine="420" w:firstLineChars="200"/>
      </w:pPr>
      <w:r>
        <w:rPr>
          <w:rFonts w:hint="eastAsia"/>
        </w:rPr>
        <w:t>GB/T 6682</w:t>
      </w:r>
      <w:r>
        <w:rPr>
          <w:rFonts w:hint="eastAsia"/>
          <w:lang w:val="en-US" w:eastAsia="zh-CN"/>
        </w:rPr>
        <w:t xml:space="preserve"> </w:t>
      </w:r>
      <w:r>
        <w:rPr>
          <w:rFonts w:hint="eastAsia"/>
        </w:rPr>
        <w:t xml:space="preserve"> 分析实验室用水规格和实验方法（ISO 3696:1987，MOD）</w:t>
      </w:r>
    </w:p>
    <w:p>
      <w:pPr>
        <w:pStyle w:val="58"/>
        <w:autoSpaceDE w:val="0"/>
        <w:autoSpaceDN w:val="0"/>
        <w:ind w:firstLine="420" w:firstLineChars="200"/>
      </w:pPr>
      <w:r>
        <w:rPr>
          <w:kern w:val="2"/>
        </w:rPr>
        <w:t>GB/T 8170  数值修约规则与极限数值的表示和判定</w:t>
      </w:r>
    </w:p>
    <w:p>
      <w:pPr>
        <w:pStyle w:val="58"/>
        <w:autoSpaceDE w:val="0"/>
        <w:autoSpaceDN w:val="0"/>
        <w:ind w:firstLine="420" w:firstLineChars="200"/>
      </w:pPr>
      <w:r>
        <w:rPr>
          <w:rFonts w:hint="eastAsia"/>
        </w:rPr>
        <w:t>GB/T 12805</w:t>
      </w:r>
      <w:r>
        <w:rPr>
          <w:rFonts w:hint="eastAsia"/>
          <w:lang w:val="en-US" w:eastAsia="zh-CN"/>
        </w:rPr>
        <w:t xml:space="preserve"> </w:t>
      </w:r>
      <w:r>
        <w:rPr>
          <w:rFonts w:hint="eastAsia"/>
        </w:rPr>
        <w:t xml:space="preserve"> 实验室玻璃仪器滴定管标准</w:t>
      </w:r>
    </w:p>
    <w:p>
      <w:pPr>
        <w:pStyle w:val="58"/>
        <w:autoSpaceDE w:val="0"/>
        <w:autoSpaceDN w:val="0"/>
        <w:ind w:firstLine="420" w:firstLineChars="200"/>
      </w:pPr>
      <w:r>
        <w:t>GB/T 14666</w:t>
      </w:r>
      <w:r>
        <w:rPr>
          <w:rFonts w:hint="eastAsia"/>
          <w:lang w:val="en-US" w:eastAsia="zh-CN"/>
        </w:rPr>
        <w:t xml:space="preserve"> </w:t>
      </w:r>
      <w:r>
        <w:t xml:space="preserve"> 分析化学术语</w:t>
      </w:r>
    </w:p>
    <w:p>
      <w:pPr>
        <w:pStyle w:val="58"/>
        <w:autoSpaceDE w:val="0"/>
        <w:autoSpaceDN w:val="0"/>
        <w:ind w:firstLine="420" w:firstLineChars="200"/>
      </w:pPr>
      <w:r>
        <w:t>GB/T 16631</w:t>
      </w:r>
      <w:r>
        <w:rPr>
          <w:rFonts w:hint="eastAsia"/>
          <w:lang w:val="en-US" w:eastAsia="zh-CN"/>
        </w:rPr>
        <w:t xml:space="preserve"> </w:t>
      </w:r>
      <w:r>
        <w:t xml:space="preserve"> 高效液相色谱法通则</w:t>
      </w:r>
    </w:p>
    <w:p>
      <w:pPr>
        <w:pStyle w:val="58"/>
        <w:autoSpaceDE w:val="0"/>
        <w:autoSpaceDN w:val="0"/>
        <w:ind w:firstLine="420" w:firstLineChars="200"/>
      </w:pPr>
      <w:r>
        <w:rPr>
          <w:rFonts w:hint="eastAsia"/>
        </w:rPr>
        <w:t>GB/T 29848</w:t>
      </w:r>
      <w:r>
        <w:rPr>
          <w:rFonts w:hint="eastAsia"/>
          <w:lang w:val="en-US" w:eastAsia="zh-CN"/>
        </w:rPr>
        <w:t xml:space="preserve"> </w:t>
      </w:r>
      <w:r>
        <w:rPr>
          <w:rFonts w:hint="eastAsia"/>
        </w:rPr>
        <w:t xml:space="preserve"> 光伏组件封装用乙烯-醋酸乙烯酯共聚物(EVA)胶膜</w:t>
      </w:r>
    </w:p>
    <w:p>
      <w:pPr>
        <w:pStyle w:val="58"/>
        <w:autoSpaceDE w:val="0"/>
        <w:autoSpaceDN w:val="0"/>
        <w:ind w:firstLine="420" w:firstLineChars="200"/>
        <w:rPr>
          <w:rFonts w:hint="eastAsia" w:hAnsi="宋体" w:cs="宋体"/>
        </w:rPr>
      </w:pPr>
      <w:r>
        <w:rPr>
          <w:rFonts w:hint="eastAsia" w:hAnsi="宋体" w:cs="宋体"/>
        </w:rPr>
        <w:t xml:space="preserve">IEC 61215-2 </w:t>
      </w:r>
      <w:r>
        <w:rPr>
          <w:rFonts w:hint="eastAsia" w:hAnsi="宋体" w:cs="宋体"/>
          <w:lang w:val="en-US" w:eastAsia="zh-CN"/>
        </w:rPr>
        <w:t xml:space="preserve"> </w:t>
      </w:r>
      <w:r>
        <w:rPr>
          <w:rFonts w:hint="eastAsia" w:hAnsi="宋体" w:cs="宋体"/>
        </w:rPr>
        <w:t xml:space="preserve">地面用光伏组件 设计鉴定和定型 </w:t>
      </w:r>
      <w:r>
        <w:rPr>
          <w:rFonts w:hint="eastAsia" w:hAnsi="宋体" w:cs="宋体"/>
          <w:lang w:val="en-US" w:eastAsia="zh-CN"/>
        </w:rPr>
        <w:t xml:space="preserve"> </w:t>
      </w:r>
      <w:r>
        <w:rPr>
          <w:rFonts w:hint="eastAsia" w:hAnsi="宋体" w:cs="宋体"/>
        </w:rPr>
        <w:t>第2部分：试验程序</w:t>
      </w:r>
      <w:r>
        <w:rPr>
          <w:rFonts w:hint="eastAsia" w:ascii="宋体" w:hAnsi="宋体" w:cs="宋体"/>
        </w:rPr>
        <w:t>（Terrestrial photovoltaic (PV) modules</w:t>
      </w:r>
      <w:r>
        <w:rPr>
          <w:rFonts w:hint="eastAsia" w:hAnsi="宋体" w:cs="宋体"/>
          <w:lang w:eastAsia="zh-CN"/>
        </w:rPr>
        <w:t>—</w:t>
      </w:r>
      <w:r>
        <w:rPr>
          <w:rFonts w:hint="eastAsia" w:ascii="宋体" w:hAnsi="宋体" w:cs="宋体"/>
        </w:rPr>
        <w:t>Design qualification and type approval</w:t>
      </w:r>
      <w:r>
        <w:rPr>
          <w:rFonts w:hint="eastAsia" w:hAnsi="宋体" w:cs="宋体"/>
          <w:lang w:eastAsia="zh-CN"/>
        </w:rPr>
        <w:t>—</w:t>
      </w:r>
      <w:r>
        <w:rPr>
          <w:rFonts w:hint="eastAsia" w:ascii="宋体" w:hAnsi="宋体" w:cs="宋体"/>
        </w:rPr>
        <w:t>Part 2:Test procedures）</w:t>
      </w:r>
    </w:p>
    <w:p>
      <w:pPr>
        <w:pStyle w:val="106"/>
        <w:spacing w:before="240" w:after="240"/>
      </w:pPr>
      <w:bookmarkStart w:id="54" w:name="_Toc138669864"/>
      <w:bookmarkStart w:id="55" w:name="_Toc137213715"/>
      <w:bookmarkStart w:id="56" w:name="_Toc138684698"/>
      <w:bookmarkStart w:id="57" w:name="_Toc137213641"/>
      <w:bookmarkStart w:id="58" w:name="_Toc23644"/>
      <w:bookmarkStart w:id="59" w:name="_Toc137216886"/>
      <w:bookmarkStart w:id="60" w:name="_Toc137213677"/>
      <w:bookmarkStart w:id="61" w:name="_Toc16241"/>
      <w:bookmarkStart w:id="62" w:name="_Toc97192966"/>
      <w:r>
        <w:rPr>
          <w:rFonts w:hint="eastAsia"/>
          <w:szCs w:val="21"/>
        </w:rPr>
        <w:t>术语和定义</w:t>
      </w:r>
      <w:bookmarkEnd w:id="54"/>
      <w:bookmarkEnd w:id="55"/>
      <w:bookmarkEnd w:id="56"/>
      <w:bookmarkEnd w:id="57"/>
      <w:bookmarkEnd w:id="58"/>
      <w:bookmarkEnd w:id="59"/>
      <w:bookmarkEnd w:id="60"/>
      <w:bookmarkEnd w:id="61"/>
      <w:bookmarkEnd w:id="62"/>
    </w:p>
    <w:sdt>
      <w:sdtPr>
        <w:rPr>
          <w:rFonts w:hint="eastAsia"/>
        </w:rPr>
        <w:id w:val="-1909835108"/>
        <w:placeholder>
          <w:docPart w:val="{f5ef314f-5efe-4494-a084-c26914d667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rPr>
      </w:sdtEndPr>
      <w:sdtContent>
        <w:p>
          <w:pPr>
            <w:autoSpaceDE w:val="0"/>
            <w:autoSpaceDN w:val="0"/>
            <w:spacing w:line="240" w:lineRule="auto"/>
            <w:ind w:firstLine="420" w:firstLineChars="200"/>
            <w:rPr>
              <w:rFonts w:ascii="宋体" w:hAnsi="Times New Roman"/>
            </w:rPr>
          </w:pPr>
          <w:r>
            <w:rPr>
              <w:rFonts w:hint="eastAsia" w:ascii="宋体" w:hAnsi="Times New Roman"/>
            </w:rPr>
            <w:t>GB/T 14666、G</w:t>
          </w:r>
          <w:r>
            <w:rPr>
              <w:rFonts w:ascii="宋体" w:hAnsi="Times New Roman"/>
            </w:rPr>
            <w:t>B/T 16631</w:t>
          </w:r>
          <w:r>
            <w:rPr>
              <w:rFonts w:hint="eastAsia" w:ascii="宋体" w:hAnsi="Times New Roman"/>
            </w:rPr>
            <w:t>界定的以及下列术语和定义适用于本文件。</w:t>
          </w:r>
        </w:p>
      </w:sdtContent>
    </w:sdt>
    <w:p>
      <w:pPr>
        <w:widowControl/>
        <w:numPr>
          <w:ilvl w:val="2"/>
          <w:numId w:val="2"/>
        </w:numPr>
        <w:adjustRightInd/>
        <w:spacing w:line="240" w:lineRule="auto"/>
        <w:outlineLvl w:val="1"/>
        <w:rPr>
          <w:rFonts w:ascii="黑体" w:hAnsi="Times New Roman" w:eastAsia="黑体"/>
        </w:rPr>
      </w:pPr>
      <w:bookmarkStart w:id="63" w:name="_Toc137213642"/>
      <w:bookmarkStart w:id="64" w:name="_Toc137213716"/>
      <w:bookmarkStart w:id="65" w:name="_Toc137216887"/>
      <w:bookmarkStart w:id="66" w:name="_Toc138684699"/>
      <w:bookmarkStart w:id="67" w:name="_Toc138669865"/>
      <w:bookmarkStart w:id="68" w:name="_Toc137213678"/>
    </w:p>
    <w:p>
      <w:pPr>
        <w:widowControl/>
        <w:adjustRightInd/>
        <w:spacing w:line="240" w:lineRule="auto"/>
        <w:ind w:firstLine="420" w:firstLineChars="200"/>
        <w:outlineLvl w:val="1"/>
        <w:rPr>
          <w:rFonts w:ascii="黑体" w:hAnsi="Times New Roman" w:eastAsia="黑体"/>
        </w:rPr>
      </w:pPr>
      <w:r>
        <w:rPr>
          <w:rFonts w:hint="eastAsia" w:ascii="黑体" w:hAnsi="Times New Roman" w:eastAsia="黑体"/>
        </w:rPr>
        <w:t>酸含量  acid</w:t>
      </w:r>
      <w:r>
        <w:rPr>
          <w:rFonts w:ascii="黑体" w:hAnsi="Times New Roman" w:eastAsia="黑体"/>
        </w:rPr>
        <w:t xml:space="preserve"> </w:t>
      </w:r>
      <w:r>
        <w:rPr>
          <w:rFonts w:hint="eastAsia" w:ascii="黑体" w:hAnsi="Times New Roman" w:eastAsia="黑体"/>
        </w:rPr>
        <w:t>content</w:t>
      </w:r>
      <w:bookmarkEnd w:id="63"/>
      <w:bookmarkEnd w:id="64"/>
      <w:bookmarkEnd w:id="65"/>
      <w:bookmarkEnd w:id="66"/>
      <w:bookmarkEnd w:id="67"/>
      <w:bookmarkEnd w:id="68"/>
    </w:p>
    <w:p>
      <w:pPr>
        <w:widowControl/>
        <w:autoSpaceDE w:val="0"/>
        <w:autoSpaceDN w:val="0"/>
        <w:adjustRightInd/>
        <w:spacing w:line="240" w:lineRule="auto"/>
        <w:ind w:firstLine="420" w:firstLineChars="200"/>
        <w:rPr>
          <w:rFonts w:ascii="宋体" w:hAnsi="Times New Roman"/>
        </w:rPr>
      </w:pPr>
      <w:r>
        <w:rPr>
          <w:rFonts w:hint="eastAsia" w:ascii="宋体" w:hAnsi="Times New Roman"/>
        </w:rPr>
        <w:t>本文件中的酸含量包含待测封装胶膜试样中的总酸值及醋酸/醋酸根含量。</w:t>
      </w:r>
    </w:p>
    <w:p>
      <w:pPr>
        <w:widowControl/>
        <w:numPr>
          <w:ilvl w:val="2"/>
          <w:numId w:val="2"/>
        </w:numPr>
        <w:adjustRightInd/>
        <w:spacing w:line="240" w:lineRule="auto"/>
        <w:outlineLvl w:val="1"/>
        <w:rPr>
          <w:rFonts w:ascii="黑体" w:hAnsi="Times New Roman" w:eastAsia="黑体"/>
        </w:rPr>
      </w:pPr>
      <w:bookmarkStart w:id="69" w:name="_Toc138669866"/>
      <w:bookmarkStart w:id="70" w:name="_Toc137213643"/>
      <w:bookmarkStart w:id="71" w:name="_Toc138684700"/>
      <w:bookmarkStart w:id="72" w:name="_Toc137216888"/>
      <w:bookmarkStart w:id="73" w:name="_Toc137213679"/>
      <w:bookmarkStart w:id="74" w:name="_Toc137213717"/>
    </w:p>
    <w:p>
      <w:pPr>
        <w:widowControl/>
        <w:adjustRightInd/>
        <w:spacing w:line="240" w:lineRule="auto"/>
        <w:ind w:firstLine="420" w:firstLineChars="200"/>
        <w:outlineLvl w:val="1"/>
        <w:rPr>
          <w:rFonts w:ascii="黑体" w:hAnsi="Times New Roman" w:eastAsia="黑体"/>
        </w:rPr>
      </w:pPr>
      <w:r>
        <w:rPr>
          <w:rFonts w:hint="eastAsia" w:ascii="黑体" w:hAnsi="Times New Roman" w:eastAsia="黑体"/>
        </w:rPr>
        <w:t>酸值  acid value</w:t>
      </w:r>
      <w:bookmarkEnd w:id="69"/>
      <w:bookmarkEnd w:id="70"/>
      <w:bookmarkEnd w:id="71"/>
      <w:bookmarkEnd w:id="72"/>
      <w:bookmarkEnd w:id="73"/>
      <w:bookmarkEnd w:id="74"/>
    </w:p>
    <w:p>
      <w:pPr>
        <w:widowControl/>
        <w:autoSpaceDE w:val="0"/>
        <w:autoSpaceDN w:val="0"/>
        <w:adjustRightInd/>
        <w:spacing w:line="240" w:lineRule="auto"/>
        <w:ind w:firstLine="420" w:firstLineChars="200"/>
        <w:rPr>
          <w:rFonts w:ascii="宋体" w:hAnsi="Times New Roman"/>
        </w:rPr>
      </w:pPr>
      <w:r>
        <w:rPr>
          <w:rFonts w:hint="eastAsia" w:ascii="宋体" w:hAnsi="Times New Roman"/>
        </w:rPr>
        <w:t>试验条件下中和1</w:t>
      </w:r>
      <w:r>
        <w:rPr>
          <w:rFonts w:ascii="宋体" w:hAnsi="Times New Roman"/>
        </w:rPr>
        <w:t xml:space="preserve"> </w:t>
      </w:r>
      <w:r>
        <w:rPr>
          <w:rFonts w:hint="eastAsia" w:ascii="宋体" w:hAnsi="Times New Roman"/>
        </w:rPr>
        <w:t>g待测封装胶膜试样中所含的游离酸所需氢氧化钾（KOH）的微克（μg）数。</w:t>
      </w:r>
    </w:p>
    <w:p>
      <w:pPr>
        <w:pStyle w:val="106"/>
        <w:spacing w:before="240" w:after="240"/>
        <w:rPr>
          <w:kern w:val="2"/>
          <w:szCs w:val="21"/>
        </w:rPr>
      </w:pPr>
      <w:bookmarkStart w:id="75" w:name="_Toc137216889"/>
      <w:bookmarkStart w:id="76" w:name="_Toc137213680"/>
      <w:bookmarkStart w:id="77" w:name="_Toc138684701"/>
      <w:bookmarkStart w:id="78" w:name="_Toc137213718"/>
      <w:bookmarkStart w:id="79" w:name="_Toc138669867"/>
      <w:bookmarkStart w:id="80" w:name="_Toc31269"/>
      <w:bookmarkStart w:id="81" w:name="_Toc137213644"/>
      <w:bookmarkStart w:id="82" w:name="_Toc29886"/>
      <w:r>
        <w:rPr>
          <w:rFonts w:hint="eastAsia"/>
        </w:rPr>
        <w:t>比色滴定法测定酸值</w:t>
      </w:r>
      <w:bookmarkEnd w:id="75"/>
      <w:bookmarkEnd w:id="76"/>
      <w:bookmarkEnd w:id="77"/>
      <w:bookmarkEnd w:id="78"/>
      <w:bookmarkEnd w:id="79"/>
      <w:bookmarkEnd w:id="80"/>
      <w:bookmarkEnd w:id="81"/>
      <w:bookmarkEnd w:id="82"/>
    </w:p>
    <w:p>
      <w:pPr>
        <w:pStyle w:val="107"/>
        <w:spacing w:before="120" w:after="120"/>
      </w:pPr>
      <w:bookmarkStart w:id="83" w:name="_Toc138684702"/>
      <w:bookmarkStart w:id="84" w:name="_Toc138669868"/>
      <w:bookmarkStart w:id="85" w:name="_Toc137213719"/>
      <w:bookmarkStart w:id="86" w:name="_Toc137213681"/>
      <w:bookmarkStart w:id="87" w:name="_Toc137213645"/>
      <w:bookmarkStart w:id="88" w:name="_Toc137216890"/>
      <w:bookmarkStart w:id="89" w:name="_Toc25246"/>
      <w:bookmarkStart w:id="90" w:name="_Toc31103"/>
      <w:r>
        <w:rPr>
          <w:rFonts w:hint="eastAsia"/>
        </w:rPr>
        <w:t>原理</w:t>
      </w:r>
      <w:bookmarkEnd w:id="83"/>
      <w:bookmarkEnd w:id="84"/>
      <w:bookmarkEnd w:id="85"/>
      <w:bookmarkEnd w:id="86"/>
      <w:bookmarkEnd w:id="87"/>
      <w:bookmarkEnd w:id="88"/>
      <w:bookmarkEnd w:id="89"/>
      <w:bookmarkEnd w:id="90"/>
    </w:p>
    <w:p>
      <w:pPr>
        <w:pStyle w:val="58"/>
        <w:autoSpaceDE w:val="0"/>
        <w:autoSpaceDN w:val="0"/>
        <w:ind w:firstLine="420" w:firstLineChars="200"/>
      </w:pPr>
      <w:r>
        <w:rPr>
          <w:rFonts w:hint="eastAsia"/>
        </w:rPr>
        <w:t>通过有机混合溶剂将待测光伏封装胶膜试样进行超声溶胀，使试样中的游离酸溶解在混合溶剂中，再通过酸碱滴定原理对溶解出来的游离酸进行滴定。</w:t>
      </w:r>
    </w:p>
    <w:p>
      <w:pPr>
        <w:pStyle w:val="107"/>
        <w:spacing w:before="120" w:after="120"/>
      </w:pPr>
      <w:bookmarkStart w:id="91" w:name="_Toc137213682"/>
      <w:bookmarkStart w:id="92" w:name="_Toc137213646"/>
      <w:bookmarkStart w:id="93" w:name="_Toc138669869"/>
      <w:bookmarkStart w:id="94" w:name="_Toc137213720"/>
      <w:bookmarkStart w:id="95" w:name="_Toc137216891"/>
      <w:bookmarkStart w:id="96" w:name="_Toc138684703"/>
      <w:bookmarkStart w:id="97" w:name="_Toc3877"/>
      <w:bookmarkStart w:id="98" w:name="_Toc8177"/>
      <w:r>
        <w:rPr>
          <w:rFonts w:hint="eastAsia"/>
        </w:rPr>
        <w:t>试剂与</w:t>
      </w:r>
      <w:bookmarkEnd w:id="91"/>
      <w:bookmarkEnd w:id="92"/>
      <w:bookmarkEnd w:id="93"/>
      <w:bookmarkEnd w:id="94"/>
      <w:bookmarkEnd w:id="95"/>
      <w:r>
        <w:rPr>
          <w:rFonts w:hint="eastAsia"/>
        </w:rPr>
        <w:t>材料</w:t>
      </w:r>
      <w:bookmarkEnd w:id="96"/>
      <w:bookmarkEnd w:id="97"/>
      <w:bookmarkEnd w:id="98"/>
    </w:p>
    <w:p>
      <w:pPr>
        <w:pStyle w:val="167"/>
      </w:pPr>
      <w:r>
        <w:rPr>
          <w:rFonts w:hint="eastAsia"/>
        </w:rPr>
        <w:t>无水乙醇：优级纯，水分≤0.2 %。</w:t>
      </w:r>
    </w:p>
    <w:p>
      <w:pPr>
        <w:pStyle w:val="167"/>
        <w:rPr>
          <w:rFonts w:hAnsi="宋体" w:cs="宋体"/>
        </w:rPr>
      </w:pPr>
      <w:r>
        <w:rPr>
          <w:rFonts w:hint="eastAsia" w:hAnsi="宋体" w:cs="宋体"/>
        </w:rPr>
        <w:t>二甲苯：分析纯及以上纯度级别，水分≤0.03 %。</w:t>
      </w:r>
    </w:p>
    <w:p>
      <w:pPr>
        <w:pStyle w:val="167"/>
        <w:rPr>
          <w:rFonts w:hAnsi="宋体" w:cs="宋体"/>
        </w:rPr>
      </w:pPr>
      <w:r>
        <w:rPr>
          <w:rFonts w:hint="eastAsia" w:hAnsi="宋体" w:cs="宋体"/>
        </w:rPr>
        <w:t>KOH试剂：分析纯，纯度≥90 %。</w:t>
      </w:r>
    </w:p>
    <w:p>
      <w:pPr>
        <w:pStyle w:val="167"/>
        <w:rPr>
          <w:rFonts w:hAnsi="宋体" w:cs="宋体"/>
        </w:rPr>
      </w:pPr>
      <w:r>
        <w:rPr>
          <w:rFonts w:hint="eastAsia" w:hAnsi="宋体" w:cs="宋体"/>
        </w:rPr>
        <w:t>混合溶剂：为二甲苯与无水乙醇的混合溶液，二甲苯与无水乙醇的体积比为2:1。</w:t>
      </w:r>
    </w:p>
    <w:p>
      <w:pPr>
        <w:pStyle w:val="167"/>
        <w:rPr>
          <w:rFonts w:ascii="黑体" w:eastAsia="黑体"/>
        </w:rPr>
      </w:pPr>
      <w:r>
        <w:rPr>
          <w:rFonts w:hint="eastAsia" w:hAnsi="宋体" w:cs="宋体"/>
        </w:rPr>
        <w:t>KO</w:t>
      </w:r>
      <w:r>
        <w:t>H</w:t>
      </w:r>
      <w:r>
        <w:rPr>
          <w:rFonts w:hint="eastAsia"/>
        </w:rPr>
        <w:t>标准滴定溶液：配制一定浓度的KOH乙醇溶液，建议使用浓度约为0.005 mol/L。按附录A（规范性）方法配制和标定</w:t>
      </w:r>
      <w:r>
        <w:rPr>
          <w:rFonts w:hint="eastAsia" w:ascii="黑体" w:eastAsia="黑体"/>
        </w:rPr>
        <w:t>。</w:t>
      </w:r>
    </w:p>
    <w:p>
      <w:pPr>
        <w:pStyle w:val="167"/>
        <w:rPr>
          <w:rFonts w:hAnsi="宋体" w:cs="宋体"/>
        </w:rPr>
      </w:pPr>
      <w:r>
        <w:rPr>
          <w:rFonts w:hint="eastAsia"/>
        </w:rPr>
        <w:t>水</w:t>
      </w:r>
      <w:r>
        <w:rPr>
          <w:rFonts w:hint="eastAsia" w:hAnsi="宋体" w:cs="宋体"/>
        </w:rPr>
        <w:t>：GB/T 6682规定的三级水。</w:t>
      </w:r>
    </w:p>
    <w:p>
      <w:pPr>
        <w:pStyle w:val="167"/>
        <w:rPr>
          <w:rFonts w:ascii="黑体" w:eastAsia="黑体"/>
          <w:szCs w:val="21"/>
        </w:rPr>
      </w:pPr>
      <w:r>
        <w:rPr>
          <w:rFonts w:hint="eastAsia" w:hAnsi="宋体" w:cs="宋体"/>
        </w:rPr>
        <w:t>溴</w:t>
      </w:r>
      <w:r>
        <w:rPr>
          <w:rFonts w:hint="eastAsia"/>
        </w:rPr>
        <w:t>百里香酚蓝指示剂：称取0.05</w:t>
      </w:r>
      <w:r>
        <w:t xml:space="preserve"> </w:t>
      </w:r>
      <w:r>
        <w:rPr>
          <w:rFonts w:hint="eastAsia"/>
        </w:rPr>
        <w:t>g</w:t>
      </w:r>
      <w:r>
        <w:t>溴百里香</w:t>
      </w:r>
      <w:r>
        <w:rPr>
          <w:rFonts w:hint="eastAsia"/>
        </w:rPr>
        <w:t>酚</w:t>
      </w:r>
      <w:r>
        <w:t>蓝</w:t>
      </w:r>
      <w:r>
        <w:rPr>
          <w:rFonts w:hint="eastAsia"/>
        </w:rPr>
        <w:t>，加入20</w:t>
      </w:r>
      <w:r>
        <w:t xml:space="preserve"> </w:t>
      </w:r>
      <w:r>
        <w:rPr>
          <w:rFonts w:hint="eastAsia"/>
        </w:rPr>
        <w:t>ml无水乙醇和80</w:t>
      </w:r>
      <w:r>
        <w:t xml:space="preserve"> </w:t>
      </w:r>
      <w:r>
        <w:rPr>
          <w:rFonts w:hint="eastAsia"/>
        </w:rPr>
        <w:t>ml水溶解，临用现配，待用于样品的酸值滴定</w:t>
      </w:r>
      <w:r>
        <w:rPr>
          <w:rFonts w:ascii="黑体" w:eastAsia="黑体"/>
        </w:rPr>
        <w:t>。</w:t>
      </w:r>
    </w:p>
    <w:p>
      <w:pPr>
        <w:pStyle w:val="107"/>
        <w:spacing w:before="120" w:after="120"/>
      </w:pPr>
      <w:bookmarkStart w:id="99" w:name="_Toc138684704"/>
      <w:bookmarkStart w:id="100" w:name="_Toc5478"/>
      <w:bookmarkStart w:id="101" w:name="_Toc26218"/>
      <w:r>
        <w:rPr>
          <w:rFonts w:hint="eastAsia"/>
        </w:rPr>
        <w:t>仪器与设备</w:t>
      </w:r>
      <w:bookmarkEnd w:id="99"/>
      <w:bookmarkEnd w:id="100"/>
      <w:bookmarkEnd w:id="101"/>
    </w:p>
    <w:p>
      <w:pPr>
        <w:pStyle w:val="167"/>
      </w:pPr>
      <w:r>
        <w:rPr>
          <w:rFonts w:hint="eastAsia"/>
        </w:rPr>
        <w:t>玻璃仪器</w:t>
      </w:r>
      <w:r>
        <w:rPr>
          <w:rFonts w:hint="eastAsia"/>
          <w:lang w:eastAsia="zh-CN"/>
        </w:rPr>
        <w:t>：</w:t>
      </w:r>
    </w:p>
    <w:p>
      <w:pPr>
        <w:pStyle w:val="166"/>
        <w:numPr>
          <w:ilvl w:val="0"/>
          <w:numId w:val="32"/>
        </w:numPr>
        <w:tabs>
          <w:tab w:val="clear" w:pos="851"/>
        </w:tabs>
        <w:ind w:left="851" w:hanging="426"/>
      </w:pPr>
      <w:r>
        <w:rPr>
          <w:rFonts w:hint="eastAsia"/>
        </w:rPr>
        <w:t>酸碱式两用滴定管：A级符合GB/T 12805要求，容量分别为10 mL（精度为0.02 mL）和50 mL（精度为0.05 mL）或根据实际需要使用A级其它容量规格滴定管。</w:t>
      </w:r>
    </w:p>
    <w:p>
      <w:pPr>
        <w:pStyle w:val="166"/>
        <w:numPr>
          <w:ilvl w:val="0"/>
          <w:numId w:val="32"/>
        </w:numPr>
        <w:tabs>
          <w:tab w:val="clear" w:pos="851"/>
        </w:tabs>
        <w:ind w:left="851" w:hanging="426"/>
      </w:pPr>
      <w:r>
        <w:rPr>
          <w:rFonts w:hint="eastAsia"/>
        </w:rPr>
        <w:t>锥形瓶：250 mL，带磨口玻璃塞。</w:t>
      </w:r>
    </w:p>
    <w:p>
      <w:pPr>
        <w:pStyle w:val="166"/>
        <w:numPr>
          <w:ilvl w:val="0"/>
          <w:numId w:val="32"/>
        </w:numPr>
        <w:tabs>
          <w:tab w:val="clear" w:pos="851"/>
        </w:tabs>
        <w:ind w:left="851" w:hanging="426"/>
      </w:pPr>
      <w:r>
        <w:rPr>
          <w:rFonts w:hint="eastAsia"/>
        </w:rPr>
        <w:t>烧杯：250 mL。</w:t>
      </w:r>
    </w:p>
    <w:p>
      <w:pPr>
        <w:pStyle w:val="166"/>
        <w:numPr>
          <w:ilvl w:val="0"/>
          <w:numId w:val="32"/>
        </w:numPr>
        <w:tabs>
          <w:tab w:val="clear" w:pos="851"/>
        </w:tabs>
        <w:ind w:left="851" w:hanging="426"/>
      </w:pPr>
      <w:r>
        <w:rPr>
          <w:rFonts w:hint="eastAsia"/>
        </w:rPr>
        <w:t>量筒：10 mL（精度为0.2 mL）、50 mL（精度为0.5 mL）。</w:t>
      </w:r>
    </w:p>
    <w:p>
      <w:pPr>
        <w:pStyle w:val="166"/>
        <w:numPr>
          <w:ilvl w:val="0"/>
          <w:numId w:val="32"/>
        </w:numPr>
        <w:tabs>
          <w:tab w:val="clear" w:pos="851"/>
        </w:tabs>
        <w:ind w:left="851" w:hanging="426"/>
      </w:pPr>
      <w:r>
        <w:rPr>
          <w:rFonts w:hint="eastAsia"/>
        </w:rPr>
        <w:t>单标移液管：50 mL。</w:t>
      </w:r>
    </w:p>
    <w:p>
      <w:pPr>
        <w:pStyle w:val="166"/>
        <w:numPr>
          <w:ilvl w:val="0"/>
          <w:numId w:val="32"/>
        </w:numPr>
        <w:tabs>
          <w:tab w:val="clear" w:pos="851"/>
        </w:tabs>
        <w:ind w:left="851" w:hanging="426"/>
      </w:pPr>
      <w:r>
        <w:rPr>
          <w:rFonts w:hint="eastAsia"/>
        </w:rPr>
        <w:t>刻度移液管：1 mL。</w:t>
      </w:r>
    </w:p>
    <w:p>
      <w:pPr>
        <w:pStyle w:val="166"/>
        <w:numPr>
          <w:ilvl w:val="0"/>
          <w:numId w:val="32"/>
        </w:numPr>
        <w:tabs>
          <w:tab w:val="clear" w:pos="851"/>
        </w:tabs>
        <w:ind w:left="851" w:hanging="426"/>
      </w:pPr>
      <w:r>
        <w:rPr>
          <w:rFonts w:hint="eastAsia"/>
        </w:rPr>
        <w:t>容量瓶：500 mL。</w:t>
      </w:r>
    </w:p>
    <w:p>
      <w:pPr>
        <w:pStyle w:val="166"/>
        <w:numPr>
          <w:ilvl w:val="0"/>
          <w:numId w:val="32"/>
        </w:numPr>
        <w:tabs>
          <w:tab w:val="clear" w:pos="851"/>
        </w:tabs>
        <w:ind w:left="851" w:hanging="426"/>
      </w:pPr>
      <w:r>
        <w:rPr>
          <w:rFonts w:hint="eastAsia"/>
        </w:rPr>
        <w:t>多孔玻板漏斗：150 mL，孔径2</w:t>
      </w:r>
      <w:r>
        <w:t xml:space="preserve"> </w:t>
      </w:r>
      <w:r>
        <w:rPr>
          <w:rFonts w:hint="eastAsia"/>
        </w:rPr>
        <w:t>mm。</w:t>
      </w:r>
    </w:p>
    <w:p>
      <w:pPr>
        <w:pStyle w:val="167"/>
        <w:rPr>
          <w:rFonts w:hAnsi="宋体" w:cs="宋体"/>
        </w:rPr>
      </w:pPr>
      <w:r>
        <w:rPr>
          <w:rFonts w:hint="eastAsia"/>
        </w:rPr>
        <w:t>超声</w:t>
      </w:r>
      <w:r>
        <w:rPr>
          <w:rFonts w:hint="eastAsia" w:hAnsi="宋体" w:cs="宋体"/>
        </w:rPr>
        <w:t>仪：超声频率40 kHz，超声功率240 W及以上。</w:t>
      </w:r>
    </w:p>
    <w:p>
      <w:pPr>
        <w:pStyle w:val="167"/>
        <w:rPr>
          <w:rFonts w:ascii="黑体" w:eastAsia="黑体"/>
        </w:rPr>
      </w:pPr>
      <w:r>
        <w:rPr>
          <w:rFonts w:hint="eastAsia" w:hAnsi="宋体" w:cs="宋体"/>
        </w:rPr>
        <w:t>分析</w:t>
      </w:r>
      <w:r>
        <w:rPr>
          <w:rFonts w:hint="eastAsia"/>
        </w:rPr>
        <w:t>天平：精确到0.01 mg</w:t>
      </w:r>
      <w:r>
        <w:rPr>
          <w:rFonts w:hint="eastAsia" w:ascii="黑体" w:eastAsia="黑体"/>
        </w:rPr>
        <w:t>。</w:t>
      </w:r>
    </w:p>
    <w:p>
      <w:pPr>
        <w:pStyle w:val="107"/>
        <w:spacing w:before="120" w:after="120"/>
      </w:pPr>
      <w:bookmarkStart w:id="102" w:name="_Toc138684705"/>
      <w:bookmarkStart w:id="103" w:name="_Toc26132"/>
      <w:bookmarkStart w:id="104" w:name="_Toc7617"/>
      <w:r>
        <w:rPr>
          <w:rFonts w:hint="eastAsia"/>
        </w:rPr>
        <w:t>试样</w:t>
      </w:r>
      <w:bookmarkEnd w:id="102"/>
      <w:bookmarkEnd w:id="103"/>
      <w:bookmarkEnd w:id="104"/>
    </w:p>
    <w:p>
      <w:pPr>
        <w:pStyle w:val="67"/>
        <w:numPr>
          <w:ilvl w:val="3"/>
          <w:numId w:val="2"/>
        </w:numPr>
        <w:spacing w:before="120" w:beforeLines="50" w:after="120" w:afterLines="50"/>
        <w:outlineLvl w:val="2"/>
      </w:pPr>
      <w:r>
        <w:rPr>
          <w:rFonts w:hint="eastAsia"/>
        </w:rPr>
        <w:t>封装胶膜样品</w:t>
      </w:r>
    </w:p>
    <w:p>
      <w:pPr>
        <w:pStyle w:val="166"/>
        <w:rPr>
          <w:rFonts w:ascii="黑体" w:eastAsia="黑体"/>
        </w:rPr>
      </w:pPr>
      <w:r>
        <w:rPr>
          <w:rFonts w:hint="eastAsia"/>
        </w:rPr>
        <w:t>单玻层压件制备：准备1块不小于200 mm×200 mm的超白压花钢化玻璃，尺寸不小于玻璃尺寸的2块待测封装胶膜样品和1块背板。按照玻璃/封装胶膜(2层)/背板依次叠好，放入真空层压机内，按照封装胶膜产品要求的固化温度和时间进行固化交联，制得无外观缺陷的层压件，且层压后封装胶膜的交联度应达到75%以上。层压件削边后，四边用铝箔或铜箔胶带封边</w:t>
      </w:r>
      <w:r>
        <w:rPr>
          <w:rFonts w:hint="eastAsia" w:ascii="黑体" w:eastAsia="黑体"/>
        </w:rPr>
        <w:t>。</w:t>
      </w:r>
    </w:p>
    <w:p>
      <w:pPr>
        <w:pStyle w:val="166"/>
        <w:rPr>
          <w:rFonts w:ascii="黑体" w:eastAsia="黑体"/>
        </w:rPr>
      </w:pPr>
      <w:r>
        <w:rPr>
          <w:rFonts w:hint="eastAsia"/>
        </w:rPr>
        <w:t>双玻层压件制备：准备2块不小于200 mm×200 mm的超白压花半钢化玻璃，尺寸不小于玻璃尺寸的2块待测封装胶膜样品，两块尺寸80 mm×80 mm的不粘膜。按照玻璃/不粘膜/封装胶膜(2层)/不粘膜/玻璃依次叠好，其中两块不粘膜位置一一对应，放入真空层压机内，按照封装胶膜产品要求的固化温度和时间进行固化交联，制得无外观缺陷的层压件，且层压后封装胶膜交联度应达到75%以上，不粘膜距玻璃边缘至少20 mm。层压件削边，四边根据试验要求决定是否用铝箔或铜箔胶带封边</w:t>
      </w:r>
      <w:r>
        <w:rPr>
          <w:rFonts w:hint="eastAsia" w:ascii="黑体" w:eastAsia="黑体"/>
        </w:rPr>
        <w:t>。</w:t>
      </w:r>
    </w:p>
    <w:p>
      <w:pPr>
        <w:pStyle w:val="166"/>
        <w:rPr>
          <w:rFonts w:ascii="黑体" w:eastAsia="黑体"/>
        </w:rPr>
      </w:pPr>
      <w:r>
        <w:rPr>
          <w:rFonts w:hint="eastAsia"/>
        </w:rPr>
        <w:t>若需要老化，则按GB/T 29848标准，将层压件放入一定条件的加速老化环境试验箱中进行老化处理</w:t>
      </w:r>
      <w:r>
        <w:rPr>
          <w:rFonts w:hint="eastAsia" w:ascii="黑体" w:eastAsia="黑体"/>
        </w:rPr>
        <w:t>。</w:t>
      </w:r>
    </w:p>
    <w:p>
      <w:pPr>
        <w:pStyle w:val="67"/>
        <w:numPr>
          <w:ilvl w:val="3"/>
          <w:numId w:val="2"/>
        </w:numPr>
        <w:spacing w:before="120" w:beforeLines="50" w:after="120" w:afterLines="50"/>
        <w:outlineLvl w:val="2"/>
      </w:pPr>
      <w:r>
        <w:rPr>
          <w:rFonts w:hint="eastAsia"/>
        </w:rPr>
        <w:t>层压件和组件样品</w:t>
      </w:r>
    </w:p>
    <w:p>
      <w:pPr>
        <w:pStyle w:val="58"/>
        <w:autoSpaceDE w:val="0"/>
        <w:autoSpaceDN w:val="0"/>
        <w:ind w:firstLine="420" w:firstLineChars="200"/>
      </w:pPr>
      <w:r>
        <w:rPr>
          <w:rFonts w:hint="eastAsia"/>
        </w:rPr>
        <w:t>针对层压件和组件样品，根据样品的实际情况，若需要老化，则按GB/T 29848或IEC61215-</w:t>
      </w:r>
      <w:r>
        <w:t>2</w:t>
      </w:r>
      <w:r>
        <w:rPr>
          <w:rFonts w:hint="eastAsia"/>
        </w:rPr>
        <w:t>标准，将样品放入加速老化环境试验箱中进行老化处理；若不需要老化或者已经老化过，则直接待用；若是户外电站的光伏组件，则直接待用。</w:t>
      </w:r>
    </w:p>
    <w:p>
      <w:pPr>
        <w:pStyle w:val="107"/>
        <w:spacing w:before="120" w:after="120"/>
      </w:pPr>
      <w:bookmarkStart w:id="105" w:name="_Toc138684706"/>
      <w:bookmarkStart w:id="106" w:name="_Toc28398"/>
      <w:bookmarkStart w:id="107" w:name="_Toc29928"/>
      <w:r>
        <w:rPr>
          <w:rFonts w:hint="eastAsia"/>
        </w:rPr>
        <w:t>试样制备</w:t>
      </w:r>
      <w:bookmarkEnd w:id="105"/>
      <w:bookmarkEnd w:id="106"/>
      <w:bookmarkEnd w:id="107"/>
    </w:p>
    <w:p>
      <w:pPr>
        <w:pStyle w:val="167"/>
        <w:rPr>
          <w:rFonts w:ascii="黑体" w:eastAsia="黑体"/>
        </w:rPr>
      </w:pPr>
      <w:r>
        <w:rPr>
          <w:rFonts w:hint="eastAsia"/>
        </w:rPr>
        <w:t>按</w:t>
      </w:r>
      <w:r>
        <w:t>4.4.1</w:t>
      </w:r>
      <w:r>
        <w:rPr>
          <w:rFonts w:hint="eastAsia"/>
        </w:rPr>
        <w:t>制样的层压件或</w:t>
      </w:r>
      <w:r>
        <w:t>4.4.</w:t>
      </w:r>
      <w:r>
        <w:rPr>
          <w:rFonts w:hint="eastAsia"/>
        </w:rPr>
        <w:t>2中需要做加速老化层压件或组件样品，待老化结束后，需在24</w:t>
      </w:r>
      <w:r>
        <w:t xml:space="preserve"> </w:t>
      </w:r>
      <w:r>
        <w:rPr>
          <w:rFonts w:hint="eastAsia"/>
        </w:rPr>
        <w:t>h内将样品取出试验箱，并在距离层压件或组件边缘至少20</w:t>
      </w:r>
      <w:r>
        <w:t xml:space="preserve"> </w:t>
      </w:r>
      <w:r>
        <w:rPr>
          <w:rFonts w:hint="eastAsia"/>
        </w:rPr>
        <w:t>mm的位置取胶膜试样。若是无需老化或已老化好的层压件或组件，或是户外电站取回的组件，则需尽快完成胶膜试样取样</w:t>
      </w:r>
      <w:r>
        <w:rPr>
          <w:rFonts w:hint="eastAsia" w:ascii="黑体" w:eastAsia="黑体"/>
        </w:rPr>
        <w:t>。</w:t>
      </w:r>
    </w:p>
    <w:p>
      <w:pPr>
        <w:pStyle w:val="176"/>
        <w:numPr>
          <w:ilvl w:val="0"/>
          <w:numId w:val="33"/>
        </w:numPr>
        <w:ind w:left="851" w:hanging="426"/>
      </w:pPr>
      <w:r>
        <w:rPr>
          <w:rFonts w:hint="eastAsia"/>
        </w:rPr>
        <w:t>单玻层压件：将封装胶膜从玻璃表面剥下，并去除背板，得到待测胶膜；若背板脆化导致无法去除干净，至少要将背板PET层全部去除，如有必要，可用砂纸磨除胶膜表面的背板涂层。</w:t>
      </w:r>
    </w:p>
    <w:p>
      <w:pPr>
        <w:pStyle w:val="176"/>
        <w:numPr>
          <w:ilvl w:val="0"/>
          <w:numId w:val="32"/>
        </w:numPr>
        <w:ind w:left="851" w:hanging="426"/>
      </w:pPr>
      <w:r>
        <w:rPr>
          <w:rFonts w:hint="eastAsia"/>
        </w:rPr>
        <w:t>双玻层压件：将玻璃敲碎后，取出两块不粘膜之间的待测胶膜。</w:t>
      </w:r>
    </w:p>
    <w:p>
      <w:pPr>
        <w:pStyle w:val="176"/>
        <w:numPr>
          <w:ilvl w:val="0"/>
          <w:numId w:val="32"/>
        </w:numPr>
        <w:ind w:left="851" w:hanging="426"/>
      </w:pPr>
      <w:r>
        <w:rPr>
          <w:rFonts w:hint="eastAsia"/>
        </w:rPr>
        <w:t>若是单玻或双玻组件，则需额外将粘在胶膜表面的碎电池片和玻璃尽量去除干净。</w:t>
      </w:r>
    </w:p>
    <w:p>
      <w:pPr>
        <w:pStyle w:val="181"/>
        <w:numPr>
          <w:ilvl w:val="0"/>
          <w:numId w:val="26"/>
        </w:numPr>
        <w:autoSpaceDE w:val="0"/>
        <w:autoSpaceDN w:val="0"/>
        <w:ind w:left="737" w:hanging="374"/>
      </w:pPr>
      <w:r>
        <w:rPr>
          <w:rFonts w:hint="eastAsia"/>
        </w:rPr>
        <w:t>取样应在室温下进行，不能对层压件或组件进行加热处理。</w:t>
      </w:r>
    </w:p>
    <w:p>
      <w:pPr>
        <w:pStyle w:val="167"/>
        <w:rPr>
          <w:rFonts w:ascii="黑体" w:eastAsia="黑体"/>
        </w:rPr>
      </w:pPr>
      <w:r>
        <w:rPr>
          <w:rFonts w:hint="eastAsia"/>
        </w:rPr>
        <w:t>将待测胶膜试样剪成约3 mm×3 mm尺寸的小块，称取1</w:t>
      </w:r>
      <w:r>
        <w:t xml:space="preserve"> </w:t>
      </w:r>
      <w:r>
        <w:rPr>
          <w:rFonts w:hint="eastAsia"/>
        </w:rPr>
        <w:t>g左右样品（记录实际质量</w:t>
      </w:r>
      <w:r>
        <w:rPr>
          <w:i/>
          <w:iCs/>
        </w:rPr>
        <w:t>m</w:t>
      </w:r>
      <w:r>
        <w:rPr>
          <w:i/>
          <w:iCs/>
          <w:vertAlign w:val="subscript"/>
        </w:rPr>
        <w:t>2</w:t>
      </w:r>
      <w:r>
        <w:rPr>
          <w:rFonts w:hint="eastAsia"/>
        </w:rPr>
        <w:t>）加到锥形瓶中，再加入40 mL二甲苯和20 mL乙醇，用玻璃塞密封后，超声15</w:t>
      </w:r>
      <w:r>
        <w:t xml:space="preserve"> </w:t>
      </w:r>
      <w:r>
        <w:rPr>
          <w:rFonts w:hint="eastAsia"/>
        </w:rPr>
        <w:t>min（建议超声功率设置为240</w:t>
      </w:r>
      <w:r>
        <w:t xml:space="preserve"> </w:t>
      </w:r>
      <w:r>
        <w:rPr>
          <w:rFonts w:hint="eastAsia"/>
        </w:rPr>
        <w:t>W），使胶膜中的游离酸充分溶解到混合溶液中。超声时对水温进行控制，建议低于40</w:t>
      </w:r>
      <w:r>
        <w:t xml:space="preserve"> </w:t>
      </w:r>
      <w:r>
        <w:rPr>
          <w:rFonts w:hint="eastAsia"/>
        </w:rPr>
        <w:t>℃。超声结束后，将锥形瓶浸入冷水中冷却降温。</w:t>
      </w:r>
    </w:p>
    <w:p>
      <w:pPr>
        <w:pStyle w:val="181"/>
        <w:numPr>
          <w:ilvl w:val="0"/>
          <w:numId w:val="26"/>
        </w:numPr>
        <w:autoSpaceDE w:val="0"/>
        <w:autoSpaceDN w:val="0"/>
        <w:ind w:left="737" w:hanging="374"/>
      </w:pPr>
      <w:r>
        <w:rPr>
          <w:rFonts w:hint="eastAsia"/>
        </w:rPr>
        <w:t>从</w:t>
      </w:r>
      <w:r>
        <w:t>4.5.1</w:t>
      </w:r>
      <w:r>
        <w:rPr>
          <w:rFonts w:hint="eastAsia"/>
        </w:rPr>
        <w:t>层压件或组件中取出的待测胶膜试样应尽快加入混合溶液中进行密封超声处理。</w:t>
      </w:r>
    </w:p>
    <w:p>
      <w:pPr>
        <w:pStyle w:val="107"/>
        <w:spacing w:before="120" w:after="120"/>
      </w:pPr>
      <w:bookmarkStart w:id="108" w:name="_Toc138684707"/>
      <w:bookmarkStart w:id="109" w:name="_Toc1092"/>
      <w:bookmarkStart w:id="110" w:name="_Toc3965"/>
      <w:r>
        <w:rPr>
          <w:rFonts w:hint="eastAsia"/>
        </w:rPr>
        <w:t>酸值的滴定</w:t>
      </w:r>
      <w:bookmarkEnd w:id="108"/>
      <w:bookmarkEnd w:id="109"/>
      <w:bookmarkEnd w:id="110"/>
    </w:p>
    <w:p>
      <w:pPr>
        <w:pStyle w:val="167"/>
      </w:pPr>
      <w:r>
        <w:rPr>
          <w:rFonts w:hint="eastAsia"/>
        </w:rPr>
        <w:t>空白对比样：取50 mL二甲苯和25 mL乙醇混合于锥形瓶中，并滴加约0.3 mL（1 mL移液管移取）的溴百里香酚蓝指示剂，使用条款4.2.5中当天标定的KOH乙醇溶液进行滴定，至终点颜色（浅蓝色），且保持30 s不变色。记录KOH乙醇溶液实际消耗的体积（</w:t>
      </w:r>
      <w:r>
        <w:rPr>
          <w:i/>
          <w:iCs/>
        </w:rPr>
        <w:t>V</w:t>
      </w:r>
      <w:r>
        <w:rPr>
          <w:vertAlign w:val="subscript"/>
        </w:rPr>
        <w:t>3</w:t>
      </w:r>
      <w:r>
        <w:rPr>
          <w:rFonts w:hint="eastAsia"/>
        </w:rPr>
        <w:t>）。</w:t>
      </w:r>
    </w:p>
    <w:p>
      <w:pPr>
        <w:pStyle w:val="167"/>
      </w:pPr>
      <w:r>
        <w:rPr>
          <w:rFonts w:hint="eastAsia"/>
        </w:rPr>
        <w:t xml:space="preserve">滴定试样测试：使用多孔玻板漏斗将4.5.2锥形瓶中的胶膜滤除，并量取10 mL二甲苯和5 mL乙醇的混合溶液对锥形瓶、漏斗及滤除的胶膜进行润洗，最后得到约75 mL待测混合溶液。 </w:t>
      </w:r>
    </w:p>
    <w:p>
      <w:pPr>
        <w:pStyle w:val="167"/>
        <w:rPr>
          <w:rFonts w:ascii="黑体" w:eastAsia="黑体"/>
        </w:rPr>
      </w:pPr>
      <w:r>
        <w:rPr>
          <w:rFonts w:hint="eastAsia"/>
        </w:rPr>
        <w:t>在上述待测混合溶液中滴加0.3 mL（1 mL移液管移取）的溴百里香酚蓝指示剂，使用4.2.5中当天标定的KOH乙醇溶液进行滴定，至终点颜色（浅蓝色）且与空白对比样一致，且保持30 s不变色。记录KOH乙醇溶液实际消耗的体积（</w:t>
      </w:r>
      <w:r>
        <w:rPr>
          <w:rFonts w:hAnsi="Cambria Math"/>
          <w:i/>
          <w:iCs/>
        </w:rPr>
        <w:t>V</w:t>
      </w:r>
      <w:r>
        <w:rPr>
          <w:rFonts w:hAnsi="Cambria Math"/>
          <w:i/>
          <w:iCs/>
          <w:vertAlign w:val="subscript"/>
        </w:rPr>
        <w:t>4</w:t>
      </w:r>
      <w:r>
        <w:rPr>
          <w:rFonts w:hint="eastAsia"/>
        </w:rPr>
        <w:t>）</w:t>
      </w:r>
      <w:r>
        <w:rPr>
          <w:rFonts w:hint="eastAsia" w:ascii="黑体" w:eastAsia="黑体"/>
        </w:rPr>
        <w:t>。</w:t>
      </w:r>
    </w:p>
    <w:p>
      <w:pPr>
        <w:pStyle w:val="107"/>
        <w:spacing w:before="120" w:after="120"/>
      </w:pPr>
      <w:bookmarkStart w:id="111" w:name="_Toc138684708"/>
      <w:bookmarkStart w:id="112" w:name="_Toc10068"/>
      <w:bookmarkStart w:id="113" w:name="_Toc17529"/>
      <w:r>
        <w:rPr>
          <w:rFonts w:hint="eastAsia"/>
        </w:rPr>
        <w:t>结果计算</w:t>
      </w:r>
      <w:bookmarkEnd w:id="111"/>
      <w:bookmarkEnd w:id="112"/>
      <w:bookmarkEnd w:id="113"/>
    </w:p>
    <w:p>
      <w:pPr>
        <w:pStyle w:val="58"/>
        <w:autoSpaceDE w:val="0"/>
        <w:autoSpaceDN w:val="0"/>
        <w:ind w:firstLine="420" w:firstLineChars="200"/>
      </w:pPr>
      <w:r>
        <w:rPr>
          <w:rFonts w:hint="eastAsia"/>
        </w:rPr>
        <w:t>按式（</w:t>
      </w:r>
      <w:r>
        <w:t>1</w:t>
      </w:r>
      <w:r>
        <w:rPr>
          <w:rFonts w:hint="eastAsia"/>
        </w:rPr>
        <w:t>）计算试样的酸值，用每克试样消耗的氢氧化钾微克数来表示，结果取整数。</w:t>
      </w:r>
    </w:p>
    <w:p>
      <w:pPr>
        <w:pStyle w:val="115"/>
      </w:pPr>
      <w: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acid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56.11×(</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4</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(KOH)</m:t>
                </m:r>
                <m:ctrlPr>
                  <w:rPr>
                    <w:rFonts w:ascii="Cambria Math" w:hAnsi="Cambria Math"/>
                    <w:i/>
                  </w:rPr>
                </m:ctrlPr>
              </m:sub>
            </m:sSub>
            <m:r>
              <m:rPr/>
              <w:rPr>
                <w:rFonts w:ascii="Cambria Math" w:hAnsi="Cambria Math"/>
              </w:rPr>
              <m:t>×1000</m:t>
            </m:r>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58"/>
        <w:snapToGrid w:val="0"/>
        <w:ind w:firstLine="420" w:firstLineChars="200"/>
      </w:pPr>
      <w:r>
        <w:rPr>
          <w:rFonts w:hint="eastAsia"/>
        </w:rPr>
        <w:t>式中：</w:t>
      </w:r>
    </w:p>
    <w:p>
      <w:pPr>
        <w:pStyle w:val="58"/>
        <w:autoSpaceDE w:val="0"/>
        <w:autoSpaceDN w:val="0"/>
        <w:ind w:firstLine="420" w:firstLineChars="200"/>
        <w:rPr>
          <w:rFonts w:ascii="Cambria Math" w:hAnsi="Cambria Math"/>
          <w:i/>
          <w:iCs/>
          <w:vertAlign w:val="subscript"/>
        </w:rPr>
      </w:pPr>
      <w:r>
        <w:rPr>
          <w:rFonts w:ascii="Cambria Math" w:hAnsi="Cambria Math"/>
          <w:i/>
          <w:iCs/>
        </w:rPr>
        <w:t>C</w:t>
      </w:r>
      <w:r>
        <w:rPr>
          <w:rFonts w:ascii="Cambria Math" w:hAnsi="Cambria Math"/>
          <w:i/>
          <w:iCs/>
          <w:vertAlign w:val="subscript"/>
        </w:rPr>
        <w:t xml:space="preserve">acid </w:t>
      </w:r>
      <w:r>
        <w:rPr>
          <w:rFonts w:hint="eastAsia"/>
        </w:rPr>
        <w:t xml:space="preserve"> </w:t>
      </w:r>
      <w:r>
        <w:t xml:space="preserve">  </w:t>
      </w:r>
      <w:r>
        <w:tab/>
      </w:r>
      <w:r>
        <w:rPr>
          <w:rFonts w:ascii="Times New Roman"/>
        </w:rPr>
        <w:t>——</w:t>
      </w:r>
      <w:r>
        <w:rPr>
          <w:rFonts w:hint="eastAsia"/>
        </w:rPr>
        <w:t>试样的酸值，单位为微克每克（μg/g）；</w:t>
      </w:r>
    </w:p>
    <w:p>
      <w:pPr>
        <w:pStyle w:val="58"/>
        <w:autoSpaceDE w:val="0"/>
        <w:autoSpaceDN w:val="0"/>
        <w:ind w:firstLine="420" w:firstLineChars="200"/>
      </w:pPr>
      <w:r>
        <w:rPr>
          <w:rFonts w:ascii="Cambria Math" w:hAnsi="Cambria Math"/>
          <w:i/>
          <w:iCs/>
        </w:rPr>
        <w:t>V</w:t>
      </w:r>
      <w:r>
        <w:rPr>
          <w:rFonts w:ascii="Cambria Math" w:hAnsi="Cambria Math"/>
          <w:i/>
          <w:iCs/>
          <w:vertAlign w:val="subscript"/>
        </w:rPr>
        <w:t>3</w:t>
      </w:r>
      <w:r>
        <w:rPr>
          <w:rFonts w:hint="eastAsia"/>
        </w:rPr>
        <w:t xml:space="preserve"> </w:t>
      </w:r>
      <w:r>
        <w:t xml:space="preserve">    </w:t>
      </w:r>
      <w:r>
        <w:tab/>
      </w:r>
      <w:r>
        <w:rPr>
          <w:rFonts w:ascii="Times New Roman"/>
        </w:rPr>
        <w:t>——</w:t>
      </w:r>
      <w:r>
        <w:rPr>
          <w:rFonts w:hint="eastAsia"/>
        </w:rPr>
        <w:t>空白对比样(二甲苯+乙醇混合溶液)消耗KOH乙醇溶液的体积，单位为毫升（mL）；</w:t>
      </w:r>
    </w:p>
    <w:p>
      <w:pPr>
        <w:pStyle w:val="58"/>
        <w:autoSpaceDE w:val="0"/>
        <w:autoSpaceDN w:val="0"/>
        <w:ind w:firstLine="420" w:firstLineChars="200"/>
      </w:pPr>
      <w:r>
        <w:rPr>
          <w:rFonts w:ascii="Cambria Math" w:hAnsi="Cambria Math"/>
          <w:i/>
          <w:iCs/>
        </w:rPr>
        <w:t>V</w:t>
      </w:r>
      <w:r>
        <w:rPr>
          <w:rFonts w:ascii="Cambria Math" w:hAnsi="Cambria Math"/>
          <w:i/>
          <w:iCs/>
          <w:vertAlign w:val="subscript"/>
        </w:rPr>
        <w:t>4</w:t>
      </w:r>
      <w:r>
        <w:rPr>
          <w:rFonts w:hint="eastAsia"/>
        </w:rPr>
        <w:t xml:space="preserve"> </w:t>
      </w:r>
      <w:r>
        <w:t xml:space="preserve">    </w:t>
      </w:r>
      <w:r>
        <w:tab/>
      </w:r>
      <w:r>
        <w:rPr>
          <w:rFonts w:ascii="Times New Roman"/>
        </w:rPr>
        <w:t>——</w:t>
      </w:r>
      <w:r>
        <w:rPr>
          <w:rFonts w:hint="eastAsia"/>
        </w:rPr>
        <w:t>待测混合溶液消耗KOH乙醇溶液的体积，单位为毫升（mL）；</w:t>
      </w:r>
    </w:p>
    <w:p>
      <w:pPr>
        <w:pStyle w:val="58"/>
        <w:autoSpaceDE w:val="0"/>
        <w:autoSpaceDN w:val="0"/>
        <w:ind w:firstLine="420" w:firstLineChars="200"/>
      </w:pPr>
      <w:r>
        <w:rPr>
          <w:rFonts w:ascii="Cambria Math" w:hAnsi="Cambria Math"/>
          <w:i/>
          <w:iCs/>
        </w:rPr>
        <w:t>C</w:t>
      </w:r>
      <w:r>
        <w:rPr>
          <w:rFonts w:ascii="Cambria Math" w:hAnsi="Cambria Math"/>
          <w:i/>
          <w:iCs/>
          <w:vertAlign w:val="subscript"/>
        </w:rPr>
        <w:t>(KOH)</w:t>
      </w:r>
      <w:r>
        <w:rPr>
          <w:rFonts w:hint="eastAsia"/>
        </w:rPr>
        <w:t xml:space="preserve"> </w:t>
      </w:r>
      <w:r>
        <w:t xml:space="preserve"> </w:t>
      </w:r>
      <w:r>
        <w:tab/>
      </w:r>
      <w:r>
        <w:rPr>
          <w:rFonts w:ascii="Times New Roman"/>
        </w:rPr>
        <w:t>——</w:t>
      </w:r>
      <w:r>
        <w:rPr>
          <w:rFonts w:hint="eastAsia"/>
        </w:rPr>
        <w:t>KOH乙醇溶液的实际浓度，单位为摩尔每升（mol/L）；</w:t>
      </w:r>
    </w:p>
    <w:p>
      <w:pPr>
        <w:pStyle w:val="58"/>
        <w:autoSpaceDE w:val="0"/>
        <w:autoSpaceDN w:val="0"/>
        <w:ind w:firstLine="420" w:firstLineChars="200"/>
      </w:pPr>
      <w:r>
        <w:rPr>
          <w:i/>
          <w:iCs/>
        </w:rPr>
        <w:t>56.11</w:t>
      </w:r>
      <w:r>
        <w:rPr>
          <w:rFonts w:hint="eastAsia"/>
        </w:rPr>
        <w:t xml:space="preserve"> </w:t>
      </w:r>
      <w:r>
        <w:t xml:space="preserve"> </w:t>
      </w:r>
      <w:r>
        <w:tab/>
      </w:r>
      <w:r>
        <w:rPr>
          <w:rFonts w:ascii="Times New Roman"/>
        </w:rPr>
        <w:t>——</w:t>
      </w:r>
      <w:r>
        <w:rPr>
          <w:rFonts w:hint="eastAsia"/>
        </w:rPr>
        <w:t>常数，氢氧化钾的摩尔质量，单位为克每摩尔（g/mol）；</w:t>
      </w:r>
    </w:p>
    <w:p>
      <w:pPr>
        <w:pStyle w:val="58"/>
        <w:autoSpaceDE w:val="0"/>
        <w:autoSpaceDN w:val="0"/>
        <w:ind w:firstLine="420" w:firstLineChars="200"/>
      </w:pPr>
      <w:r>
        <w:rPr>
          <w:rFonts w:ascii="Cambria Math" w:hAnsi="Cambria Math"/>
          <w:i/>
          <w:iCs/>
        </w:rPr>
        <w:t>m</w:t>
      </w:r>
      <w:r>
        <w:rPr>
          <w:rFonts w:ascii="Cambria Math" w:hAnsi="Cambria Math"/>
          <w:i/>
          <w:iCs/>
          <w:vertAlign w:val="subscript"/>
        </w:rPr>
        <w:t>2</w:t>
      </w:r>
      <w:r>
        <w:rPr>
          <w:rFonts w:hint="eastAsia"/>
        </w:rPr>
        <w:t xml:space="preserve"> </w:t>
      </w:r>
      <w:r>
        <w:t xml:space="preserve">   </w:t>
      </w:r>
      <w:r>
        <w:tab/>
      </w:r>
      <w:r>
        <w:rPr>
          <w:rFonts w:ascii="Times New Roman"/>
        </w:rPr>
        <w:t>——</w:t>
      </w:r>
      <w:r>
        <w:rPr>
          <w:rFonts w:hint="eastAsia"/>
        </w:rPr>
        <w:t>试样的质量，单位为克（g）。</w:t>
      </w:r>
    </w:p>
    <w:p>
      <w:pPr>
        <w:pStyle w:val="107"/>
        <w:spacing w:before="120" w:after="120"/>
      </w:pPr>
      <w:bookmarkStart w:id="114" w:name="_Toc31914"/>
      <w:bookmarkStart w:id="115" w:name="_Toc10428"/>
      <w:r>
        <w:rPr>
          <w:rFonts w:hint="eastAsia"/>
        </w:rPr>
        <w:t>结果表示</w:t>
      </w:r>
      <w:bookmarkEnd w:id="114"/>
      <w:bookmarkEnd w:id="115"/>
    </w:p>
    <w:p>
      <w:pPr>
        <w:pStyle w:val="58"/>
        <w:autoSpaceDE w:val="0"/>
        <w:autoSpaceDN w:val="0"/>
        <w:ind w:firstLine="420" w:firstLineChars="200"/>
      </w:pPr>
      <w:r>
        <w:rPr>
          <w:rFonts w:hint="eastAsia"/>
        </w:rPr>
        <w:t>同一块层压件取样测试2个试样，取两个结果的算术平均值作为所测样品的酸值，结果保留整数。在重复性条件下获得的两次独立测定结果的绝对差值不得超过算术平均值的15%，否则再增加2次独立测试，取4个值中从小到大中间两个值的算术平均值。</w:t>
      </w:r>
    </w:p>
    <w:p>
      <w:pPr>
        <w:pStyle w:val="181"/>
        <w:numPr>
          <w:ilvl w:val="0"/>
          <w:numId w:val="26"/>
        </w:numPr>
        <w:autoSpaceDE w:val="0"/>
        <w:autoSpaceDN w:val="0"/>
        <w:ind w:left="737" w:hanging="374"/>
      </w:pPr>
      <w:r>
        <w:rPr>
          <w:rFonts w:hint="eastAsia"/>
        </w:rPr>
        <w:t>若</w:t>
      </w:r>
      <w:r>
        <w:rPr>
          <w:rFonts w:ascii="Cambria Math" w:hAnsi="Cambria Math"/>
          <w:i/>
          <w:iCs/>
        </w:rPr>
        <w:t>V</w:t>
      </w:r>
      <w:r>
        <w:rPr>
          <w:rFonts w:ascii="Cambria Math" w:hAnsi="Cambria Math"/>
          <w:i/>
          <w:iCs/>
          <w:vertAlign w:val="subscript"/>
        </w:rPr>
        <w:t>4</w:t>
      </w:r>
      <w:r>
        <w:rPr>
          <w:rFonts w:hint="eastAsia"/>
        </w:rPr>
        <w:t xml:space="preserve"> ＜ 2倍</w:t>
      </w:r>
      <w:r>
        <w:rPr>
          <w:rFonts w:ascii="Cambria Math" w:hAnsi="Cambria Math"/>
          <w:i/>
          <w:iCs/>
        </w:rPr>
        <w:t>V</w:t>
      </w:r>
      <w:r>
        <w:rPr>
          <w:rFonts w:ascii="Cambria Math" w:hAnsi="Cambria Math"/>
          <w:i/>
          <w:iCs/>
          <w:vertAlign w:val="subscript"/>
        </w:rPr>
        <w:t>3</w:t>
      </w:r>
      <w:r>
        <w:rPr>
          <w:rFonts w:hint="eastAsia"/>
        </w:rPr>
        <w:t>，则报告结果不写具体数据，表示为“低于检测限”。</w:t>
      </w:r>
    </w:p>
    <w:p>
      <w:pPr>
        <w:pStyle w:val="106"/>
        <w:spacing w:before="240" w:after="240"/>
      </w:pPr>
      <w:bookmarkStart w:id="116" w:name="_Toc137216893"/>
      <w:bookmarkStart w:id="117" w:name="_Toc137213722"/>
      <w:bookmarkStart w:id="118" w:name="_Toc138669871"/>
      <w:bookmarkStart w:id="119" w:name="_Toc137213684"/>
      <w:bookmarkStart w:id="120" w:name="_Toc137213648"/>
      <w:bookmarkStart w:id="121" w:name="_Toc138684709"/>
      <w:bookmarkStart w:id="122" w:name="_Toc27464"/>
      <w:bookmarkStart w:id="123" w:name="_Toc23740"/>
      <w:r>
        <w:rPr>
          <w:rFonts w:hint="eastAsia"/>
        </w:rPr>
        <w:t>高效</w:t>
      </w:r>
      <w:r>
        <w:rPr>
          <w:rFonts w:hint="eastAsia"/>
          <w:szCs w:val="21"/>
        </w:rPr>
        <w:t>液相</w:t>
      </w:r>
      <w:r>
        <w:rPr>
          <w:rFonts w:hint="eastAsia"/>
        </w:rPr>
        <w:t>色谱法测定醋酸及醋酸根含量</w:t>
      </w:r>
      <w:bookmarkEnd w:id="116"/>
      <w:bookmarkEnd w:id="117"/>
      <w:bookmarkEnd w:id="118"/>
      <w:bookmarkEnd w:id="119"/>
      <w:bookmarkEnd w:id="120"/>
      <w:bookmarkEnd w:id="121"/>
      <w:bookmarkEnd w:id="122"/>
      <w:bookmarkEnd w:id="123"/>
    </w:p>
    <w:p>
      <w:pPr>
        <w:pStyle w:val="107"/>
        <w:spacing w:before="120" w:after="120"/>
      </w:pPr>
      <w:bookmarkStart w:id="124" w:name="_Toc137213685"/>
      <w:bookmarkStart w:id="125" w:name="_Toc137213649"/>
      <w:bookmarkStart w:id="126" w:name="_Toc138684710"/>
      <w:bookmarkStart w:id="127" w:name="_Toc137216894"/>
      <w:bookmarkStart w:id="128" w:name="_Toc138669872"/>
      <w:bookmarkStart w:id="129" w:name="_Toc5370"/>
      <w:bookmarkStart w:id="130" w:name="_Toc137213723"/>
      <w:bookmarkStart w:id="131" w:name="_Toc7955"/>
      <w:r>
        <w:rPr>
          <w:rFonts w:hint="eastAsia"/>
        </w:rPr>
        <w:t>原理</w:t>
      </w:r>
      <w:bookmarkEnd w:id="124"/>
      <w:bookmarkEnd w:id="125"/>
      <w:bookmarkEnd w:id="126"/>
      <w:bookmarkEnd w:id="127"/>
      <w:bookmarkEnd w:id="128"/>
      <w:bookmarkEnd w:id="129"/>
      <w:bookmarkEnd w:id="130"/>
      <w:bookmarkEnd w:id="131"/>
    </w:p>
    <w:p>
      <w:pPr>
        <w:pStyle w:val="58"/>
        <w:autoSpaceDE w:val="0"/>
        <w:autoSpaceDN w:val="0"/>
        <w:ind w:firstLine="420" w:firstLineChars="200"/>
      </w:pPr>
      <w:r>
        <w:rPr>
          <w:rFonts w:hint="eastAsia"/>
        </w:rPr>
        <w:t>胶膜试样中的醋酸及醋酸盐，经超声水浴提取，收集后经过滤，采用高效液相色谱进行分离，紫外检测器检测，保留时间定性，外标峰面积法定量。</w:t>
      </w:r>
    </w:p>
    <w:p>
      <w:pPr>
        <w:pStyle w:val="107"/>
        <w:spacing w:before="120" w:after="120"/>
      </w:pPr>
      <w:bookmarkStart w:id="132" w:name="_Toc138669873"/>
      <w:bookmarkStart w:id="133" w:name="_Toc137213724"/>
      <w:bookmarkStart w:id="134" w:name="_Toc137216895"/>
      <w:bookmarkStart w:id="135" w:name="_Toc137213650"/>
      <w:bookmarkStart w:id="136" w:name="_Toc137213686"/>
      <w:bookmarkStart w:id="137" w:name="_Toc138684711"/>
      <w:bookmarkStart w:id="138" w:name="_Toc13042"/>
      <w:bookmarkStart w:id="139" w:name="_Toc31481"/>
      <w:r>
        <w:rPr>
          <w:rFonts w:hint="eastAsia"/>
        </w:rPr>
        <w:t>试剂与</w:t>
      </w:r>
      <w:bookmarkEnd w:id="132"/>
      <w:bookmarkEnd w:id="133"/>
      <w:bookmarkEnd w:id="134"/>
      <w:bookmarkEnd w:id="135"/>
      <w:bookmarkEnd w:id="136"/>
      <w:r>
        <w:rPr>
          <w:rFonts w:hint="eastAsia"/>
        </w:rPr>
        <w:t>材料</w:t>
      </w:r>
      <w:bookmarkEnd w:id="137"/>
      <w:bookmarkEnd w:id="138"/>
      <w:bookmarkEnd w:id="139"/>
    </w:p>
    <w:p>
      <w:pPr>
        <w:pStyle w:val="167"/>
      </w:pPr>
      <w:r>
        <w:rPr>
          <w:rFonts w:hint="eastAsia"/>
        </w:rPr>
        <w:t>磷酸（ρ约1.42 g/mL）: 优级纯。</w:t>
      </w:r>
    </w:p>
    <w:p>
      <w:pPr>
        <w:pStyle w:val="167"/>
      </w:pPr>
      <w:r>
        <w:rPr>
          <w:rFonts w:hint="eastAsia"/>
        </w:rPr>
        <w:t>磷酸氢二铵：分析纯，纯度≥99.0%。</w:t>
      </w:r>
    </w:p>
    <w:p>
      <w:pPr>
        <w:pStyle w:val="167"/>
      </w:pPr>
      <w:r>
        <w:rPr>
          <w:rFonts w:hint="eastAsia"/>
        </w:rPr>
        <w:t>乙酸钠标准品（CH</w:t>
      </w:r>
      <w:r>
        <w:rPr>
          <w:vertAlign w:val="subscript"/>
        </w:rPr>
        <w:t>3</w:t>
      </w:r>
      <w:r>
        <w:rPr>
          <w:rFonts w:hint="eastAsia"/>
        </w:rPr>
        <w:t>COONa）：分析纯，纯度≥99%；或乙酸根标准溶液（1000 μg/mL）。</w:t>
      </w:r>
    </w:p>
    <w:p>
      <w:pPr>
        <w:pStyle w:val="167"/>
      </w:pPr>
      <w:r>
        <w:rPr>
          <w:rFonts w:hint="eastAsia"/>
        </w:rPr>
        <w:t>甲醇：HPLC级。</w:t>
      </w:r>
    </w:p>
    <w:p>
      <w:pPr>
        <w:pStyle w:val="167"/>
      </w:pPr>
      <w:r>
        <w:rPr>
          <w:rFonts w:hint="eastAsia"/>
        </w:rPr>
        <w:t>磷酸水溶液（1.0 mol/L）：在50 mL水中加入53.5 mL磷酸，混匀后，加水定容至1000 mL。</w:t>
      </w:r>
    </w:p>
    <w:p>
      <w:pPr>
        <w:pStyle w:val="167"/>
      </w:pPr>
      <w:r>
        <w:rPr>
          <w:rFonts w:hint="eastAsia"/>
        </w:rPr>
        <w:t>磷酸氢二铵溶液(1.5 g/L)：称取磷酸氢二铵1.5 g，加水溶解定容至1000 mL，再用1.0 mol/L磷酸溶液调节pH 至2.50～3.0，临用现配。</w:t>
      </w:r>
    </w:p>
    <w:p>
      <w:pPr>
        <w:pStyle w:val="167"/>
      </w:pPr>
      <w:r>
        <w:rPr>
          <w:rFonts w:hint="eastAsia"/>
        </w:rPr>
        <w:t>水：色谱用水为GB/T 6682规定的一级水。</w:t>
      </w:r>
    </w:p>
    <w:p>
      <w:pPr>
        <w:pStyle w:val="167"/>
      </w:pPr>
      <w:r>
        <w:rPr>
          <w:rFonts w:hint="eastAsia"/>
        </w:rPr>
        <w:t>乙酸钠标准储备液（1000 mg/L）：精确称取100.0 mg乙酸钠标准品(5.2.3)，精确至0.0001 g，加入25 mL水超声溶解，待完全溶解后用水定容至100 ml。此溶液作为标准储备液，置于0℃～4℃冰箱内保存，保存期为3个月。</w:t>
      </w:r>
    </w:p>
    <w:p>
      <w:pPr>
        <w:pStyle w:val="167"/>
        <w:rPr>
          <w:rFonts w:ascii="黑体" w:eastAsia="黑体"/>
        </w:rPr>
      </w:pPr>
      <w:r>
        <w:rPr>
          <w:rFonts w:hint="eastAsia"/>
        </w:rPr>
        <w:t>标准工作液：取乙酸钠标准储备液(5.2.8)或者乙酸钠标准溶液，用水逐级稀释，配置成为0.5 mg/L、1.0 mg/L、2.0 mg/L、3.0 mg/L、4.0 mg/L、5.0 mg/L、10.0 mg/L、15.0 mg/L、20.0 mg/L、25.0 mg/L的标准工作溶液，置于0℃～4℃冰箱内保存，保存期为1个月</w:t>
      </w:r>
      <w:r>
        <w:rPr>
          <w:rFonts w:hint="eastAsia" w:ascii="黑体" w:eastAsia="黑体"/>
        </w:rPr>
        <w:t>。</w:t>
      </w:r>
    </w:p>
    <w:p>
      <w:pPr>
        <w:pStyle w:val="107"/>
        <w:spacing w:before="120" w:after="120"/>
      </w:pPr>
      <w:bookmarkStart w:id="140" w:name="_Toc21710"/>
      <w:bookmarkStart w:id="141" w:name="_Toc138684712"/>
      <w:bookmarkStart w:id="142" w:name="_Toc1204"/>
      <w:r>
        <w:rPr>
          <w:rFonts w:hint="eastAsia"/>
        </w:rPr>
        <w:t>仪器与设备</w:t>
      </w:r>
      <w:bookmarkEnd w:id="140"/>
      <w:bookmarkEnd w:id="141"/>
      <w:bookmarkEnd w:id="142"/>
    </w:p>
    <w:p>
      <w:pPr>
        <w:pStyle w:val="167"/>
      </w:pPr>
      <w:r>
        <w:rPr>
          <w:rFonts w:hint="eastAsia"/>
        </w:rPr>
        <w:t>玻璃仪器：2 mL、5 mL、10 mL、15 mL、20 mL、50 mL单标移液管、容量瓶（100 mL）、西林瓶或顶空气相瓶（含盖、25 mL）或其它可密封的玻璃容器。</w:t>
      </w:r>
    </w:p>
    <w:p>
      <w:pPr>
        <w:pStyle w:val="167"/>
      </w:pPr>
      <w:r>
        <w:rPr>
          <w:rFonts w:hint="eastAsia"/>
        </w:rPr>
        <w:t>高效液相色谱（HPLC）仪：配有紫外检测器或满足条件的二极管阵列检测器。</w:t>
      </w:r>
    </w:p>
    <w:p>
      <w:pPr>
        <w:pStyle w:val="167"/>
      </w:pPr>
      <w:r>
        <w:rPr>
          <w:rFonts w:hint="eastAsia"/>
        </w:rPr>
        <w:t>pH计。</w:t>
      </w:r>
    </w:p>
    <w:p>
      <w:pPr>
        <w:pStyle w:val="167"/>
      </w:pPr>
      <w:r>
        <w:rPr>
          <w:rFonts w:hint="eastAsia"/>
        </w:rPr>
        <w:t>超声仪：超声频率≥40kHz。</w:t>
      </w:r>
    </w:p>
    <w:p>
      <w:pPr>
        <w:pStyle w:val="167"/>
      </w:pPr>
      <w:r>
        <w:rPr>
          <w:rFonts w:hint="eastAsia"/>
        </w:rPr>
        <w:t>水相微孔滤膜：孔径0.22 μm。</w:t>
      </w:r>
    </w:p>
    <w:p>
      <w:pPr>
        <w:pStyle w:val="167"/>
      </w:pPr>
      <w:r>
        <w:rPr>
          <w:rFonts w:hint="eastAsia"/>
        </w:rPr>
        <w:t>水系尼龙针式滤头：孔径0.22 μm。</w:t>
      </w:r>
    </w:p>
    <w:p>
      <w:pPr>
        <w:pStyle w:val="167"/>
        <w:rPr>
          <w:rFonts w:ascii="黑体" w:eastAsia="黑体"/>
        </w:rPr>
      </w:pPr>
      <w:r>
        <w:rPr>
          <w:rFonts w:hint="eastAsia"/>
        </w:rPr>
        <w:t>分析天平：精确到0.01</w:t>
      </w:r>
      <w:r>
        <w:t xml:space="preserve"> </w:t>
      </w:r>
      <w:r>
        <w:rPr>
          <w:rFonts w:hint="eastAsia"/>
        </w:rPr>
        <w:t>mg</w:t>
      </w:r>
      <w:r>
        <w:rPr>
          <w:rFonts w:hint="eastAsia" w:ascii="黑体" w:eastAsia="黑体"/>
        </w:rPr>
        <w:t>。</w:t>
      </w:r>
    </w:p>
    <w:p>
      <w:pPr>
        <w:pStyle w:val="107"/>
        <w:spacing w:before="120" w:after="120"/>
      </w:pPr>
      <w:bookmarkStart w:id="143" w:name="_Toc138684713"/>
      <w:bookmarkStart w:id="144" w:name="_Toc21789"/>
      <w:bookmarkStart w:id="145" w:name="_Toc15533"/>
      <w:r>
        <w:rPr>
          <w:rFonts w:hint="eastAsia"/>
        </w:rPr>
        <w:t>试样</w:t>
      </w:r>
      <w:bookmarkEnd w:id="143"/>
      <w:bookmarkEnd w:id="144"/>
      <w:bookmarkEnd w:id="145"/>
    </w:p>
    <w:p>
      <w:pPr>
        <w:pStyle w:val="167"/>
      </w:pPr>
      <w:r>
        <w:rPr>
          <w:rFonts w:hint="eastAsia"/>
        </w:rPr>
        <w:t>制样参照4.4进行及4.5.1进行取样，取距离待测层压件或组件边缘至少20 mm处一小块胶膜（若是从单玻层压件或者组件中剥离的样品，背板脆化导致无法去除干净，至少要将背板PET层全部去除，如有必要，可用砂纸磨去胶膜表面的背板涂层），剪碎成最大边长不超过3 mm的试样，混匀后尽快用于下一步超声浸提。</w:t>
      </w:r>
    </w:p>
    <w:p>
      <w:pPr>
        <w:pStyle w:val="167"/>
      </w:pPr>
      <w:r>
        <w:rPr>
          <w:rFonts w:hint="eastAsia"/>
        </w:rPr>
        <w:t>称取约0.5 g～1.0 g试样（称量准确至0.1 mg，称样量记录为</w:t>
      </w:r>
      <w:r>
        <w:rPr>
          <w:i/>
          <w:iCs/>
        </w:rPr>
        <w:t>m</w:t>
      </w:r>
      <w:r>
        <w:rPr>
          <w:rFonts w:hint="eastAsia"/>
        </w:rPr>
        <w:t>）至20 mL玻璃瓶（具密封塞）中，加入10.00 mL水，封好瓶口塞，混匀，经超声浸提30 min，放置恢复至室温，摇匀。取溶液经滤膜（5.3.6）过滤后，所得滤液供液相色谱测定。</w:t>
      </w:r>
    </w:p>
    <w:p>
      <w:pPr>
        <w:pStyle w:val="167"/>
        <w:rPr>
          <w:rFonts w:ascii="黑体" w:eastAsia="黑体"/>
        </w:rPr>
      </w:pPr>
      <w:r>
        <w:rPr>
          <w:rFonts w:hint="eastAsia"/>
        </w:rPr>
        <w:t>超声时对水温进行控制，建议低于40</w:t>
      </w:r>
      <w:r>
        <w:t xml:space="preserve"> </w:t>
      </w:r>
      <w:r>
        <w:rPr>
          <w:rFonts w:hint="eastAsia"/>
        </w:rPr>
        <w:t>℃</w:t>
      </w:r>
      <w:r>
        <w:rPr>
          <w:rFonts w:hint="eastAsia" w:ascii="黑体" w:eastAsia="黑体"/>
        </w:rPr>
        <w:t>。</w:t>
      </w:r>
    </w:p>
    <w:p>
      <w:pPr>
        <w:numPr>
          <w:ilvl w:val="0"/>
          <w:numId w:val="26"/>
        </w:numPr>
        <w:autoSpaceDE w:val="0"/>
        <w:autoSpaceDN w:val="0"/>
        <w:spacing w:line="240" w:lineRule="auto"/>
        <w:ind w:left="737" w:hanging="374"/>
        <w:rPr>
          <w:rFonts w:ascii="宋体" w:hAnsi="Times New Roman"/>
          <w:sz w:val="18"/>
          <w:szCs w:val="18"/>
        </w:rPr>
      </w:pPr>
      <w:r>
        <w:rPr>
          <w:rFonts w:hint="eastAsia" w:ascii="宋体" w:hAnsi="Times New Roman"/>
          <w:sz w:val="18"/>
          <w:szCs w:val="18"/>
        </w:rPr>
        <w:t>取样应在室温下进行，不能对层压件进行加热处理；</w:t>
      </w:r>
      <w:r>
        <w:rPr>
          <w:rFonts w:ascii="宋体" w:hAnsi="Times New Roman"/>
          <w:sz w:val="18"/>
          <w:szCs w:val="18"/>
        </w:rPr>
        <w:t>5.4.1</w:t>
      </w:r>
      <w:r>
        <w:rPr>
          <w:rFonts w:hint="eastAsia" w:ascii="宋体" w:hAnsi="Times New Roman"/>
          <w:sz w:val="18"/>
          <w:szCs w:val="18"/>
        </w:rPr>
        <w:t>从层压件或者组件中取出的待测胶膜应尽快加入水中进行密封超声处理。</w:t>
      </w:r>
    </w:p>
    <w:p>
      <w:pPr>
        <w:pStyle w:val="107"/>
        <w:spacing w:before="120" w:after="120"/>
      </w:pPr>
      <w:bookmarkStart w:id="146" w:name="_Toc138684714"/>
      <w:bookmarkStart w:id="147" w:name="_Toc22266"/>
      <w:bookmarkStart w:id="148" w:name="_Toc19700"/>
      <w:r>
        <w:rPr>
          <w:rFonts w:hint="eastAsia"/>
        </w:rPr>
        <w:t>试验步骤</w:t>
      </w:r>
      <w:bookmarkEnd w:id="146"/>
      <w:bookmarkEnd w:id="147"/>
      <w:bookmarkEnd w:id="148"/>
    </w:p>
    <w:p>
      <w:pPr>
        <w:pStyle w:val="67"/>
        <w:spacing w:before="120" w:after="120"/>
      </w:pPr>
      <w:r>
        <w:rPr>
          <w:rFonts w:hint="eastAsia"/>
        </w:rPr>
        <w:t>仪器参考条件</w:t>
      </w:r>
    </w:p>
    <w:p>
      <w:pPr>
        <w:pStyle w:val="58"/>
        <w:autoSpaceDE w:val="0"/>
        <w:autoSpaceDN w:val="0"/>
        <w:ind w:firstLine="420" w:firstLineChars="200"/>
      </w:pPr>
      <w:r>
        <w:rPr>
          <w:rFonts w:hint="eastAsia"/>
        </w:rPr>
        <w:t>由于测试结果取决于所使用仪器，因此不可能给出高效液相色谱分析的通用参数。设定的参数应保证色谱测定时被测组分与其他组分能够得到有效的分离，下列给出的参数证明是可行的。</w:t>
      </w:r>
    </w:p>
    <w:p>
      <w:pPr>
        <w:pStyle w:val="176"/>
        <w:numPr>
          <w:ilvl w:val="0"/>
          <w:numId w:val="34"/>
        </w:numPr>
        <w:ind w:left="851" w:hanging="426"/>
      </w:pPr>
      <w:r>
        <w:rPr>
          <w:rFonts w:hint="eastAsia"/>
        </w:rPr>
        <w:t>色谱柱:ZORBAX SB-Aq C18柱，柱长250 mm，内径4.6 mm，粒径5 μm，或等效色谱柱；</w:t>
      </w:r>
    </w:p>
    <w:p>
      <w:pPr>
        <w:pStyle w:val="176"/>
        <w:numPr>
          <w:ilvl w:val="0"/>
          <w:numId w:val="35"/>
        </w:numPr>
        <w:ind w:left="851" w:hanging="426"/>
      </w:pPr>
      <w:r>
        <w:rPr>
          <w:rFonts w:hint="eastAsia"/>
        </w:rPr>
        <w:t>柱温:25 ℃；</w:t>
      </w:r>
    </w:p>
    <w:p>
      <w:pPr>
        <w:pStyle w:val="176"/>
        <w:numPr>
          <w:ilvl w:val="0"/>
          <w:numId w:val="35"/>
        </w:numPr>
        <w:ind w:left="851" w:hanging="426"/>
      </w:pPr>
      <w:r>
        <w:rPr>
          <w:rFonts w:hint="eastAsia"/>
        </w:rPr>
        <w:t>流动相: 或者1.5 g/L磷酸氢二铵溶液（用1.0 mol/L磷酸溶液调节pH 至2.50～3.0 ，临用现配）0.07 %磷酸溶液(用0.1 mol/L氢氧化钠溶液调节pH 至2.50～3.0 ，临用现配)，经0.22 μm水相微孔滤膜（5.</w:t>
      </w:r>
      <w:r>
        <w:t>3</w:t>
      </w:r>
      <w:r>
        <w:rPr>
          <w:rFonts w:hint="eastAsia"/>
        </w:rPr>
        <w:t>.5）过滤；</w:t>
      </w:r>
    </w:p>
    <w:p>
      <w:pPr>
        <w:pStyle w:val="176"/>
        <w:numPr>
          <w:ilvl w:val="0"/>
          <w:numId w:val="35"/>
        </w:numPr>
        <w:ind w:left="851" w:hanging="426"/>
      </w:pPr>
      <w:r>
        <w:rPr>
          <w:rFonts w:hint="eastAsia"/>
        </w:rPr>
        <w:t>流速:1.0 mL/min；</w:t>
      </w:r>
    </w:p>
    <w:p>
      <w:pPr>
        <w:pStyle w:val="176"/>
        <w:numPr>
          <w:ilvl w:val="0"/>
          <w:numId w:val="35"/>
        </w:numPr>
        <w:ind w:left="851" w:hanging="426"/>
      </w:pPr>
      <w:r>
        <w:rPr>
          <w:rFonts w:hint="eastAsia"/>
        </w:rPr>
        <w:t>波长:210 nm；</w:t>
      </w:r>
    </w:p>
    <w:p>
      <w:pPr>
        <w:pStyle w:val="176"/>
        <w:numPr>
          <w:ilvl w:val="0"/>
          <w:numId w:val="35"/>
        </w:numPr>
        <w:ind w:left="851" w:hanging="426"/>
      </w:pPr>
      <w:r>
        <w:rPr>
          <w:rFonts w:hint="eastAsia"/>
        </w:rPr>
        <w:t>进样量:20 μL；</w:t>
      </w:r>
    </w:p>
    <w:p>
      <w:pPr>
        <w:pStyle w:val="176"/>
        <w:numPr>
          <w:ilvl w:val="0"/>
          <w:numId w:val="35"/>
        </w:numPr>
        <w:ind w:left="851" w:hanging="426"/>
      </w:pPr>
      <w:r>
        <w:rPr>
          <w:rFonts w:hint="eastAsia"/>
        </w:rPr>
        <w:t>色谱柱清洗参考条件:试验结束后，用10%甲醇清洗1 h，再用100%甲醇清洗1 h。</w:t>
      </w:r>
    </w:p>
    <w:p>
      <w:pPr>
        <w:pStyle w:val="67"/>
        <w:spacing w:before="120" w:after="120"/>
      </w:pPr>
      <w:r>
        <w:rPr>
          <w:rFonts w:hint="eastAsia"/>
        </w:rPr>
        <w:t>标准曲线绘制</w:t>
      </w:r>
    </w:p>
    <w:p>
      <w:pPr>
        <w:pStyle w:val="58"/>
        <w:autoSpaceDE w:val="0"/>
        <w:autoSpaceDN w:val="0"/>
        <w:ind w:firstLine="420" w:firstLineChars="200"/>
      </w:pPr>
      <w:r>
        <w:rPr>
          <w:rFonts w:hint="eastAsia"/>
        </w:rPr>
        <w:t>取乙酸钠标准工作溶液，经滤膜（</w:t>
      </w:r>
      <w:r>
        <w:t>5.3</w:t>
      </w:r>
      <w:r>
        <w:rPr>
          <w:rFonts w:hint="eastAsia"/>
        </w:rPr>
        <w:t>.6）过滤，按浓度由低到高进样，以色谱峰的峰面积为纵坐标，以其对应的浓度为横坐标作图，绘制标准工作曲线。</w:t>
      </w:r>
    </w:p>
    <w:p>
      <w:pPr>
        <w:pStyle w:val="67"/>
        <w:spacing w:before="120" w:after="120"/>
      </w:pPr>
      <w:r>
        <w:rPr>
          <w:rFonts w:hint="eastAsia"/>
        </w:rPr>
        <w:t>试样测定</w:t>
      </w:r>
    </w:p>
    <w:p>
      <w:pPr>
        <w:pStyle w:val="58"/>
        <w:autoSpaceDE w:val="0"/>
        <w:autoSpaceDN w:val="0"/>
        <w:ind w:firstLine="420" w:firstLineChars="200"/>
      </w:pPr>
      <w:r>
        <w:rPr>
          <w:rFonts w:hint="eastAsia"/>
        </w:rPr>
        <w:t>取</w:t>
      </w:r>
      <w:r>
        <w:t>5.4</w:t>
      </w:r>
      <w:r>
        <w:rPr>
          <w:rFonts w:hint="eastAsia"/>
        </w:rPr>
        <w:t>所得试样待测溶液，按照</w:t>
      </w:r>
      <w:r>
        <w:t>5.5</w:t>
      </w:r>
      <w:r>
        <w:rPr>
          <w:rFonts w:hint="eastAsia"/>
        </w:rPr>
        <w:t>.1色谱条件进行测定。记录色谱峰的峰面积响应值，在线性范围内，用外标法定量。若峰面积响应值超出或未达浓度线性范围，则应稀释或降低稀释比后再进行测定，并记录稀释倍数</w:t>
      </w:r>
      <w:r>
        <w:rPr>
          <w:rFonts w:ascii="Cambria Math" w:hAnsi="Cambria Math"/>
          <w:i/>
          <w:iCs/>
        </w:rPr>
        <w:t>f</w:t>
      </w:r>
      <w:r>
        <w:rPr>
          <w:rFonts w:hint="eastAsia"/>
        </w:rPr>
        <w:t>。</w:t>
      </w:r>
    </w:p>
    <w:p>
      <w:pPr>
        <w:pStyle w:val="67"/>
        <w:spacing w:before="120" w:after="120"/>
      </w:pPr>
      <w:r>
        <w:rPr>
          <w:rFonts w:hint="eastAsia"/>
        </w:rPr>
        <w:t>空白样</w:t>
      </w:r>
    </w:p>
    <w:p>
      <w:pPr>
        <w:pStyle w:val="58"/>
        <w:autoSpaceDE w:val="0"/>
        <w:autoSpaceDN w:val="0"/>
        <w:ind w:firstLine="420" w:firstLineChars="200"/>
      </w:pPr>
      <w:r>
        <w:rPr>
          <w:rFonts w:hint="eastAsia"/>
        </w:rPr>
        <w:t>除不称取样品外，按</w:t>
      </w:r>
      <w:r>
        <w:t>5.4</w:t>
      </w:r>
      <w:r>
        <w:rPr>
          <w:rFonts w:hint="eastAsia"/>
        </w:rPr>
        <w:t>～</w:t>
      </w:r>
      <w:r>
        <w:t>5.5.</w:t>
      </w:r>
      <w:r>
        <w:rPr>
          <w:rFonts w:hint="eastAsia"/>
        </w:rPr>
        <w:t>3步骤进行测定。</w:t>
      </w:r>
    </w:p>
    <w:p>
      <w:pPr>
        <w:pStyle w:val="107"/>
        <w:spacing w:before="120" w:after="120"/>
      </w:pPr>
      <w:bookmarkStart w:id="149" w:name="_Toc27574"/>
      <w:bookmarkStart w:id="150" w:name="_Toc138684715"/>
      <w:bookmarkStart w:id="151" w:name="_Toc3196"/>
      <w:r>
        <w:rPr>
          <w:rFonts w:hint="eastAsia"/>
        </w:rPr>
        <w:t>结果计算</w:t>
      </w:r>
      <w:bookmarkEnd w:id="149"/>
      <w:bookmarkEnd w:id="150"/>
      <w:bookmarkEnd w:id="151"/>
    </w:p>
    <w:p>
      <w:pPr>
        <w:pStyle w:val="58"/>
        <w:autoSpaceDE w:val="0"/>
        <w:autoSpaceDN w:val="0"/>
        <w:ind w:firstLine="420" w:firstLineChars="200"/>
      </w:pPr>
      <w:r>
        <w:rPr>
          <w:rFonts w:hint="eastAsia"/>
        </w:rPr>
        <w:t>试样中醋酸及醋酸根含量以醋酸钠计，按式（</w:t>
      </w:r>
      <w:r>
        <w:t>2</w:t>
      </w:r>
      <w:r>
        <w:rPr>
          <w:rFonts w:hint="eastAsia"/>
        </w:rPr>
        <w:t>）计算：</w:t>
      </w:r>
    </w:p>
    <w:p>
      <w:pPr>
        <w:pStyle w:val="115"/>
      </w:pPr>
      <w:r>
        <w:tab/>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(NaAc)</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c×v</m:t>
            </m:r>
            <m:ctrlPr>
              <w:rPr>
                <w:rFonts w:ascii="Cambria Math" w:hAnsi="Cambria Math"/>
                <w:i/>
              </w:rPr>
            </m:ctrlPr>
          </m:num>
          <m:den>
            <m:r>
              <m:rPr/>
              <w:rPr>
                <w:rFonts w:ascii="Cambria Math" w:hAnsi="Cambria Math"/>
              </w:rPr>
              <m:t>m</m:t>
            </m:r>
            <m:ctrlPr>
              <w:rPr>
                <w:rFonts w:ascii="Cambria Math" w:hAnsi="Cambria Math"/>
                <w:i/>
              </w:rPr>
            </m:ctrlPr>
          </m:den>
        </m:f>
        <m:r>
          <m:rPr/>
          <w:rPr>
            <w:rFonts w:ascii="Cambria Math" w:hAnsi="Cambria Math"/>
          </w:rPr>
          <m:t>×f</m:t>
        </m:r>
      </m:oMath>
      <w:r>
        <w:rPr>
          <w:rFonts w:ascii="微软雅黑" w:hAnsi="微软雅黑" w:eastAsia="微软雅黑"/>
        </w:rPr>
        <w:tab/>
      </w:r>
      <w:r>
        <w:t>(</w:t>
      </w:r>
      <w:r>
        <w:rPr>
          <w:rFonts w:hint="eastAsia"/>
        </w:rPr>
        <w:t>2</w:t>
      </w:r>
      <w:r>
        <w:t>)</w:t>
      </w:r>
    </w:p>
    <w:p>
      <w:pPr>
        <w:pStyle w:val="58"/>
        <w:snapToGrid w:val="0"/>
        <w:ind w:firstLine="420" w:firstLineChars="200"/>
      </w:pPr>
      <w:r>
        <w:rPr>
          <w:rFonts w:hint="eastAsia"/>
        </w:rPr>
        <w:t>式中：</w:t>
      </w:r>
    </w:p>
    <w:p>
      <w:pPr>
        <w:pStyle w:val="58"/>
        <w:tabs>
          <w:tab w:val="left" w:pos="945"/>
        </w:tabs>
        <w:autoSpaceDE w:val="0"/>
        <w:autoSpaceDN w:val="0"/>
        <w:ind w:firstLine="420" w:firstLineChars="200"/>
      </w:pPr>
      <w:r>
        <w:rPr>
          <w:rFonts w:hint="eastAsia" w:ascii="宋体" w:hAnsi="宋体" w:cs="宋体"/>
          <w:i/>
          <w:iCs/>
        </w:rPr>
        <w:t>X</w:t>
      </w:r>
      <w:r>
        <w:rPr>
          <w:rFonts w:hint="eastAsia" w:ascii="宋体" w:hAnsi="宋体" w:cs="宋体"/>
          <w:i/>
          <w:iCs/>
          <w:vertAlign w:val="subscript"/>
        </w:rPr>
        <w:t>NaAc</w:t>
      </w:r>
      <w:r>
        <w:rPr>
          <w:rFonts w:hint="eastAsia" w:hAnsi="宋体" w:cs="宋体"/>
          <w:lang w:val="en-US" w:eastAsia="zh-CN"/>
        </w:rPr>
        <w:tab/>
      </w:r>
      <w:r>
        <w:rPr>
          <w:rFonts w:ascii="Times New Roman"/>
        </w:rPr>
        <w:t>——</w:t>
      </w:r>
      <w:r>
        <w:rPr>
          <w:rFonts w:hint="eastAsia"/>
        </w:rPr>
        <w:t>试样中醋酸及醋酸根含量（以醋酸钠计），单位为毫克每千克（mg/kg）；</w:t>
      </w:r>
    </w:p>
    <w:p>
      <w:pPr>
        <w:pStyle w:val="58"/>
        <w:tabs>
          <w:tab w:val="left" w:pos="945"/>
        </w:tabs>
        <w:autoSpaceDE w:val="0"/>
        <w:autoSpaceDN w:val="0"/>
        <w:ind w:firstLine="420" w:firstLineChars="200"/>
      </w:pPr>
      <w:r>
        <w:rPr>
          <w:rFonts w:hint="eastAsia" w:ascii="宋体" w:hAnsi="宋体" w:cs="宋体"/>
          <w:i/>
          <w:iCs/>
        </w:rPr>
        <w:t>c</w:t>
      </w:r>
      <w:r>
        <w:t xml:space="preserve"> </w:t>
      </w:r>
      <w:r>
        <w:rPr>
          <w:rFonts w:hint="eastAsia"/>
          <w:lang w:val="en-US" w:eastAsia="zh-CN"/>
        </w:rPr>
        <w:tab/>
      </w:r>
      <w:r>
        <w:rPr>
          <w:rFonts w:ascii="Times New Roman"/>
        </w:rPr>
        <w:t>——</w:t>
      </w:r>
      <w:r>
        <w:rPr>
          <w:rFonts w:hint="eastAsia"/>
        </w:rPr>
        <w:t>由标准曲线得出的待测液中醋酸钠的浓度，单位为</w:t>
      </w:r>
      <w:r>
        <w:rPr>
          <w:rFonts w:hint="eastAsia"/>
          <w:highlight w:val="none"/>
        </w:rPr>
        <w:t>毫克每升</w:t>
      </w:r>
      <w:r>
        <w:rPr>
          <w:highlight w:val="none"/>
        </w:rPr>
        <w:t>(mg/L)</w:t>
      </w:r>
      <w:r>
        <w:rPr>
          <w:rFonts w:hint="eastAsia"/>
        </w:rPr>
        <w:t>；</w:t>
      </w:r>
    </w:p>
    <w:p>
      <w:pPr>
        <w:pStyle w:val="58"/>
        <w:tabs>
          <w:tab w:val="left" w:pos="945"/>
        </w:tabs>
        <w:autoSpaceDE w:val="0"/>
        <w:autoSpaceDN w:val="0"/>
        <w:ind w:firstLine="420" w:firstLineChars="200"/>
      </w:pPr>
      <w:r>
        <w:rPr>
          <w:rFonts w:hint="eastAsia" w:ascii="宋体" w:hAnsi="宋体" w:cs="宋体"/>
          <w:i/>
          <w:iCs/>
        </w:rPr>
        <w:t>v</w:t>
      </w:r>
      <w:r>
        <w:rPr>
          <w:rFonts w:hint="eastAsia"/>
          <w:lang w:val="en-US" w:eastAsia="zh-CN"/>
        </w:rPr>
        <w:tab/>
      </w:r>
      <w:r>
        <w:rPr>
          <w:rFonts w:ascii="Times New Roman"/>
        </w:rPr>
        <w:t>——</w:t>
      </w:r>
      <w:r>
        <w:rPr>
          <w:rFonts w:hint="eastAsia"/>
        </w:rPr>
        <w:t>加入水的体积，单位为毫升(mL)；</w:t>
      </w:r>
    </w:p>
    <w:p>
      <w:pPr>
        <w:pStyle w:val="58"/>
        <w:tabs>
          <w:tab w:val="left" w:pos="945"/>
        </w:tabs>
        <w:autoSpaceDE w:val="0"/>
        <w:autoSpaceDN w:val="0"/>
        <w:ind w:firstLine="420" w:firstLineChars="200"/>
      </w:pPr>
      <w:r>
        <w:rPr>
          <w:rFonts w:hint="eastAsia" w:ascii="宋体" w:hAnsi="宋体" w:cs="宋体"/>
          <w:i/>
          <w:iCs/>
        </w:rPr>
        <w:t>m</w:t>
      </w:r>
      <w:r>
        <w:rPr>
          <w:rFonts w:hint="eastAsia"/>
          <w:lang w:val="en-US" w:eastAsia="zh-CN"/>
        </w:rPr>
        <w:tab/>
      </w:r>
      <w:r>
        <w:rPr>
          <w:rFonts w:ascii="Times New Roman"/>
        </w:rPr>
        <w:t>——</w:t>
      </w:r>
      <w:r>
        <w:rPr>
          <w:rFonts w:hint="eastAsia"/>
        </w:rPr>
        <w:t>样品质量，单位为克(g)；</w:t>
      </w:r>
    </w:p>
    <w:p>
      <w:pPr>
        <w:pStyle w:val="58"/>
        <w:tabs>
          <w:tab w:val="left" w:pos="945"/>
        </w:tabs>
        <w:autoSpaceDE w:val="0"/>
        <w:autoSpaceDN w:val="0"/>
        <w:ind w:firstLine="420" w:firstLineChars="200"/>
      </w:pPr>
      <w:r>
        <w:rPr>
          <w:rFonts w:hint="eastAsia" w:ascii="宋体" w:hAnsi="宋体" w:cs="宋体"/>
          <w:i/>
          <w:iCs/>
        </w:rPr>
        <w:t>f</w:t>
      </w:r>
      <w:r>
        <w:rPr>
          <w:rFonts w:hint="eastAsia"/>
          <w:lang w:val="en-US" w:eastAsia="zh-CN"/>
        </w:rPr>
        <w:tab/>
      </w:r>
      <w:r>
        <w:rPr>
          <w:rFonts w:ascii="Times New Roman"/>
        </w:rPr>
        <w:t>——</w:t>
      </w:r>
      <w:r>
        <w:rPr>
          <w:rFonts w:hint="eastAsia"/>
        </w:rPr>
        <w:t>稀释倍数。</w:t>
      </w:r>
    </w:p>
    <w:p>
      <w:pPr>
        <w:pStyle w:val="58"/>
        <w:autoSpaceDE w:val="0"/>
        <w:autoSpaceDN w:val="0"/>
        <w:ind w:firstLine="420" w:firstLineChars="200"/>
      </w:pPr>
      <w:r>
        <w:rPr>
          <w:rFonts w:hint="eastAsia"/>
        </w:rPr>
        <w:t>试样中醋酸及醋酸根含量以醋酸计，按式（</w:t>
      </w:r>
      <w:r>
        <w:t>3</w:t>
      </w:r>
      <w:r>
        <w:rPr>
          <w:rFonts w:hint="eastAsia"/>
        </w:rPr>
        <w:t>）计算：</w:t>
      </w:r>
    </w:p>
    <w:p>
      <w:pPr>
        <w:pStyle w:val="115"/>
      </w:pPr>
      <w:r>
        <w:tab/>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HAc</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c×v×60.05</m:t>
            </m:r>
            <m:ctrlPr>
              <w:rPr>
                <w:rFonts w:ascii="Cambria Math" w:hAnsi="Cambria Math"/>
                <w:i/>
              </w:rPr>
            </m:ctrlPr>
          </m:num>
          <m:den>
            <m:r>
              <m:rPr/>
              <w:rPr>
                <w:rFonts w:ascii="Cambria Math" w:hAnsi="Cambria Math"/>
              </w:rPr>
              <m:t>m×82.03</m:t>
            </m:r>
            <m:ctrlPr>
              <w:rPr>
                <w:rFonts w:ascii="Cambria Math" w:hAnsi="Cambria Math"/>
                <w:i/>
              </w:rPr>
            </m:ctrlPr>
          </m:den>
        </m:f>
        <m:r>
          <m:rPr/>
          <w:rPr>
            <w:rFonts w:ascii="Cambria Math" w:hAnsi="Cambria Math"/>
          </w:rPr>
          <m:t>×f</m:t>
        </m:r>
      </m:oMath>
      <w:r>
        <w:rPr>
          <w:rFonts w:ascii="微软雅黑" w:hAnsi="微软雅黑" w:eastAsia="微软雅黑"/>
        </w:rPr>
        <w:tab/>
      </w:r>
      <w:r>
        <w:t>(</w:t>
      </w:r>
      <w:r>
        <w:rPr>
          <w:rFonts w:hint="eastAsia"/>
        </w:rPr>
        <w:t>3</w:t>
      </w:r>
      <w:r>
        <w:t>)</w:t>
      </w:r>
    </w:p>
    <w:p>
      <w:pPr>
        <w:pStyle w:val="58"/>
        <w:snapToGrid w:val="0"/>
        <w:ind w:firstLine="420" w:firstLineChars="200"/>
      </w:pPr>
      <w:r>
        <w:rPr>
          <w:rFonts w:hint="eastAsia"/>
        </w:rPr>
        <w:t>式中：</w:t>
      </w:r>
    </w:p>
    <w:p>
      <w:pPr>
        <w:pStyle w:val="58"/>
        <w:tabs>
          <w:tab w:val="left" w:pos="1060"/>
        </w:tabs>
        <w:autoSpaceDE w:val="0"/>
        <w:autoSpaceDN w:val="0"/>
        <w:ind w:firstLine="420" w:firstLineChars="200"/>
      </w:pPr>
      <w:r>
        <w:rPr>
          <w:rFonts w:ascii="宋体" w:hAnsi="Times New Roman"/>
          <w:i/>
          <w:iCs/>
        </w:rPr>
        <w:t>X</w:t>
      </w:r>
      <w:r>
        <w:rPr>
          <w:rFonts w:ascii="宋体" w:hAnsi="Times New Roman"/>
          <w:i/>
          <w:iCs/>
          <w:vertAlign w:val="baseline"/>
        </w:rPr>
        <w:t>HAc</w:t>
      </w:r>
      <w:r>
        <w:rPr>
          <w:rFonts w:hint="eastAsia"/>
          <w:lang w:val="en-US" w:eastAsia="zh-CN"/>
        </w:rPr>
        <w:tab/>
      </w:r>
      <w:r>
        <w:rPr>
          <w:rFonts w:ascii="Times New Roman"/>
        </w:rPr>
        <w:t>——</w:t>
      </w:r>
      <w:r>
        <w:rPr>
          <w:rFonts w:hint="eastAsia"/>
        </w:rPr>
        <w:t>试样中醋酸及醋酸根含量（以醋酸计），单位为毫克每千克（mg/kg）；</w:t>
      </w:r>
    </w:p>
    <w:p>
      <w:pPr>
        <w:pStyle w:val="58"/>
        <w:tabs>
          <w:tab w:val="left" w:pos="1060"/>
        </w:tabs>
        <w:autoSpaceDE w:val="0"/>
        <w:autoSpaceDN w:val="0"/>
        <w:ind w:firstLine="420" w:firstLineChars="200"/>
      </w:pPr>
      <w:r>
        <w:rPr>
          <w:rFonts w:ascii="宋体" w:hAnsi="Times New Roman"/>
          <w:i/>
          <w:iCs/>
        </w:rPr>
        <w:t>c</w:t>
      </w:r>
      <w:r>
        <w:rPr>
          <w:rFonts w:hint="eastAsia"/>
          <w:lang w:val="en-US" w:eastAsia="zh-CN"/>
        </w:rPr>
        <w:tab/>
      </w:r>
      <w:r>
        <w:rPr>
          <w:rFonts w:ascii="Times New Roman"/>
        </w:rPr>
        <w:t>——</w:t>
      </w:r>
      <w:r>
        <w:rPr>
          <w:rFonts w:hint="eastAsia"/>
        </w:rPr>
        <w:t>由标准曲线得出的待测液中乙酸钠的浓度，单位为</w:t>
      </w:r>
      <w:r>
        <w:rPr>
          <w:rFonts w:hint="eastAsia"/>
          <w:highlight w:val="none"/>
        </w:rPr>
        <w:t>毫克每升</w:t>
      </w:r>
      <w:r>
        <w:rPr>
          <w:highlight w:val="none"/>
        </w:rPr>
        <w:t>(mg/L)</w:t>
      </w:r>
      <w:r>
        <w:rPr>
          <w:rFonts w:hint="eastAsia"/>
        </w:rPr>
        <w:t>；</w:t>
      </w:r>
    </w:p>
    <w:p>
      <w:pPr>
        <w:pStyle w:val="58"/>
        <w:tabs>
          <w:tab w:val="left" w:pos="1060"/>
        </w:tabs>
        <w:autoSpaceDE w:val="0"/>
        <w:autoSpaceDN w:val="0"/>
        <w:ind w:firstLine="420" w:firstLineChars="200"/>
      </w:pPr>
      <w:r>
        <w:rPr>
          <w:rFonts w:ascii="宋体" w:hAnsi="Times New Roman"/>
          <w:i/>
          <w:iCs/>
        </w:rPr>
        <w:t>v</w:t>
      </w:r>
      <w:r>
        <w:rPr>
          <w:rFonts w:hint="eastAsia"/>
        </w:rPr>
        <w:t xml:space="preserve"> </w:t>
      </w:r>
      <w:r>
        <w:rPr>
          <w:rFonts w:hint="eastAsia"/>
          <w:lang w:val="en-US" w:eastAsia="zh-CN"/>
        </w:rPr>
        <w:tab/>
      </w:r>
      <w:r>
        <w:rPr>
          <w:rFonts w:ascii="Times New Roman"/>
        </w:rPr>
        <w:t>——</w:t>
      </w:r>
      <w:r>
        <w:rPr>
          <w:rFonts w:hint="eastAsia"/>
        </w:rPr>
        <w:t>加入水的体积，单位为毫升(mL)；</w:t>
      </w:r>
    </w:p>
    <w:p>
      <w:pPr>
        <w:pStyle w:val="58"/>
        <w:tabs>
          <w:tab w:val="left" w:pos="1060"/>
        </w:tabs>
        <w:autoSpaceDE w:val="0"/>
        <w:autoSpaceDN w:val="0"/>
        <w:ind w:firstLine="420" w:firstLineChars="200"/>
      </w:pPr>
      <w:r>
        <w:rPr>
          <w:rFonts w:ascii="宋体" w:hAnsi="Times New Roman"/>
          <w:i/>
          <w:iCs/>
        </w:rPr>
        <w:t>m</w:t>
      </w:r>
      <w:r>
        <w:rPr>
          <w:rFonts w:hint="eastAsia"/>
          <w:lang w:val="en-US" w:eastAsia="zh-CN"/>
        </w:rPr>
        <w:tab/>
      </w:r>
      <w:r>
        <w:rPr>
          <w:rFonts w:ascii="Times New Roman"/>
        </w:rPr>
        <w:t>——</w:t>
      </w:r>
      <w:r>
        <w:rPr>
          <w:rFonts w:hint="eastAsia"/>
        </w:rPr>
        <w:t>样品质量，单位为克(g)；</w:t>
      </w:r>
    </w:p>
    <w:p>
      <w:pPr>
        <w:pStyle w:val="58"/>
        <w:tabs>
          <w:tab w:val="left" w:pos="1060"/>
        </w:tabs>
        <w:autoSpaceDE w:val="0"/>
        <w:autoSpaceDN w:val="0"/>
        <w:ind w:firstLine="420" w:firstLineChars="200"/>
      </w:pPr>
      <w:r>
        <w:rPr>
          <w:rFonts w:ascii="宋体" w:hAnsi="Times New Roman"/>
          <w:i/>
          <w:iCs/>
        </w:rPr>
        <w:t>f</w:t>
      </w:r>
      <w:r>
        <w:rPr>
          <w:rFonts w:hint="eastAsia"/>
          <w:lang w:val="en-US" w:eastAsia="zh-CN"/>
        </w:rPr>
        <w:tab/>
      </w:r>
      <w:r>
        <w:rPr>
          <w:rFonts w:ascii="Times New Roman"/>
        </w:rPr>
        <w:t>——</w:t>
      </w:r>
      <w:r>
        <w:rPr>
          <w:rFonts w:hint="eastAsia"/>
        </w:rPr>
        <w:t>稀释倍数。</w:t>
      </w:r>
    </w:p>
    <w:p>
      <w:pPr>
        <w:pStyle w:val="58"/>
        <w:tabs>
          <w:tab w:val="left" w:pos="1060"/>
        </w:tabs>
        <w:autoSpaceDE w:val="0"/>
        <w:autoSpaceDN w:val="0"/>
        <w:ind w:firstLine="420" w:firstLineChars="200"/>
      </w:pPr>
      <w:r>
        <w:rPr>
          <w:rFonts w:hint="eastAsia"/>
        </w:rPr>
        <w:t>60.05</w:t>
      </w:r>
      <w:r>
        <w:rPr>
          <w:rFonts w:hint="eastAsia"/>
          <w:lang w:val="en-US" w:eastAsia="zh-CN"/>
        </w:rPr>
        <w:tab/>
      </w:r>
      <w:r>
        <w:rPr>
          <w:rFonts w:ascii="Times New Roman"/>
        </w:rPr>
        <w:t>——</w:t>
      </w:r>
      <w:r>
        <w:rPr>
          <w:rFonts w:hint="eastAsia"/>
        </w:rPr>
        <w:t>醋酸的摩尔质量，单位为克每摩尔（g/mol）；</w:t>
      </w:r>
    </w:p>
    <w:p>
      <w:pPr>
        <w:pStyle w:val="58"/>
        <w:tabs>
          <w:tab w:val="left" w:pos="1060"/>
        </w:tabs>
        <w:autoSpaceDE w:val="0"/>
        <w:autoSpaceDN w:val="0"/>
        <w:ind w:firstLine="420" w:firstLineChars="200"/>
        <w:rPr>
          <w:rFonts w:hint="eastAsia" w:eastAsia="宋体"/>
          <w:lang w:eastAsia="zh-CN"/>
        </w:rPr>
      </w:pPr>
      <w:r>
        <w:rPr>
          <w:rFonts w:hint="eastAsia"/>
        </w:rPr>
        <w:t>82.03</w:t>
      </w:r>
      <w:r>
        <w:rPr>
          <w:rFonts w:hint="eastAsia"/>
          <w:lang w:val="en-US" w:eastAsia="zh-CN"/>
        </w:rPr>
        <w:tab/>
      </w:r>
      <w:r>
        <w:rPr>
          <w:rFonts w:ascii="Times New Roman"/>
        </w:rPr>
        <w:t>——</w:t>
      </w:r>
      <w:r>
        <w:rPr>
          <w:rFonts w:hint="eastAsia"/>
        </w:rPr>
        <w:t>醋酸钠的摩尔质量，单位为克每摩尔（g/mol）</w:t>
      </w:r>
      <w:r>
        <w:rPr>
          <w:rFonts w:hint="eastAsia"/>
          <w:lang w:val="en-US" w:eastAsia="zh-CN"/>
        </w:rPr>
        <w:t>。</w:t>
      </w:r>
    </w:p>
    <w:p>
      <w:pPr>
        <w:pStyle w:val="58"/>
        <w:autoSpaceDE w:val="0"/>
        <w:autoSpaceDN w:val="0"/>
        <w:ind w:firstLine="420" w:firstLineChars="200"/>
      </w:pPr>
      <w:r>
        <w:rPr>
          <w:rFonts w:hint="eastAsia"/>
        </w:rPr>
        <w:t>计算结果应扣除空白值，平行测定两次，结果取算术平均值，保留至整数。</w:t>
      </w:r>
    </w:p>
    <w:p>
      <w:pPr>
        <w:pStyle w:val="107"/>
        <w:spacing w:before="120" w:after="120"/>
      </w:pPr>
      <w:bookmarkStart w:id="152" w:name="_Toc13939"/>
      <w:bookmarkStart w:id="153" w:name="_Toc138684716"/>
      <w:bookmarkStart w:id="154" w:name="_Toc29184"/>
      <w:r>
        <w:rPr>
          <w:rFonts w:hint="eastAsia"/>
        </w:rPr>
        <w:t>重复性</w:t>
      </w:r>
      <w:bookmarkEnd w:id="152"/>
      <w:bookmarkEnd w:id="153"/>
      <w:bookmarkEnd w:id="154"/>
    </w:p>
    <w:p>
      <w:pPr>
        <w:pStyle w:val="58"/>
        <w:autoSpaceDE w:val="0"/>
        <w:autoSpaceDN w:val="0"/>
        <w:ind w:firstLine="420" w:firstLineChars="200"/>
      </w:pPr>
      <w:r>
        <w:rPr>
          <w:rFonts w:hint="eastAsia"/>
        </w:rPr>
        <w:t>在重复性条件下获得的两次独立测定结果的绝对差值不得超过算术平均值的15%。报告重复测定结果的算术平均值，数值修约按GB/T 8170规则进行。否则，再增加2次独立测试，取4个值的中值。</w:t>
      </w:r>
    </w:p>
    <w:p>
      <w:pPr>
        <w:pStyle w:val="107"/>
        <w:spacing w:before="120" w:after="120"/>
      </w:pPr>
      <w:bookmarkStart w:id="155" w:name="_Toc29597"/>
      <w:bookmarkStart w:id="156" w:name="_Toc138684717"/>
      <w:bookmarkStart w:id="157" w:name="_Toc13707"/>
      <w:r>
        <w:rPr>
          <w:rFonts w:hint="eastAsia"/>
        </w:rPr>
        <w:t>检出限和定量限</w:t>
      </w:r>
      <w:bookmarkEnd w:id="155"/>
      <w:bookmarkEnd w:id="156"/>
      <w:bookmarkEnd w:id="157"/>
    </w:p>
    <w:p>
      <w:pPr>
        <w:pStyle w:val="58"/>
        <w:autoSpaceDE w:val="0"/>
        <w:autoSpaceDN w:val="0"/>
        <w:ind w:firstLine="420" w:firstLineChars="200"/>
      </w:pPr>
      <w:r>
        <w:rPr>
          <w:rFonts w:hint="eastAsia"/>
        </w:rPr>
        <w:t>0.5</w:t>
      </w:r>
      <w:r>
        <w:t xml:space="preserve"> </w:t>
      </w:r>
      <w:r>
        <w:rPr>
          <w:rFonts w:hint="eastAsia"/>
        </w:rPr>
        <w:t>g样品，提取用水体积10.00 mL，本方法的检出限为20 mg/kg（以醋酸钠计），定量限为60 mg/kg（以醋酸钠计）。</w:t>
      </w:r>
    </w:p>
    <w:p>
      <w:pPr>
        <w:pStyle w:val="106"/>
        <w:spacing w:before="240" w:after="240"/>
      </w:pPr>
      <w:bookmarkStart w:id="158" w:name="_Toc138669875"/>
      <w:bookmarkStart w:id="159" w:name="_Toc31600"/>
      <w:bookmarkStart w:id="160" w:name="_Toc138684718"/>
      <w:bookmarkStart w:id="161" w:name="_Toc11603"/>
      <w:r>
        <w:rPr>
          <w:rFonts w:hint="eastAsia"/>
        </w:rPr>
        <w:t>质量</w:t>
      </w:r>
      <w:r>
        <w:rPr>
          <w:rFonts w:hint="eastAsia"/>
          <w:szCs w:val="21"/>
        </w:rPr>
        <w:t>保证</w:t>
      </w:r>
      <w:r>
        <w:rPr>
          <w:rFonts w:hint="eastAsia"/>
        </w:rPr>
        <w:t>和控制</w:t>
      </w:r>
      <w:bookmarkEnd w:id="158"/>
      <w:bookmarkEnd w:id="159"/>
      <w:bookmarkEnd w:id="160"/>
      <w:bookmarkEnd w:id="161"/>
    </w:p>
    <w:p>
      <w:pPr>
        <w:pStyle w:val="58"/>
        <w:ind w:firstLine="420"/>
      </w:pPr>
      <w:r>
        <w:rPr>
          <w:rFonts w:hint="eastAsia" w:ascii="宋体" w:eastAsia="宋体"/>
        </w:rPr>
        <w:t>质量保证和控制如下：</w:t>
      </w:r>
    </w:p>
    <w:p>
      <w:pPr>
        <w:numPr>
          <w:ilvl w:val="0"/>
          <w:numId w:val="36"/>
        </w:numPr>
        <w:tabs>
          <w:tab w:val="left" w:pos="851"/>
        </w:tabs>
        <w:spacing w:line="240" w:lineRule="auto"/>
        <w:ind w:left="851" w:hanging="426"/>
        <w:rPr>
          <w:rFonts w:ascii="宋体" w:hAnsi="Times New Roman"/>
        </w:rPr>
      </w:pPr>
      <w:r>
        <w:rPr>
          <w:rFonts w:hint="eastAsia" w:ascii="宋体" w:hAnsi="Times New Roman"/>
        </w:rPr>
        <w:t>应根据日常样品检测工作量定期校核本分析方法的有效性。当过程失控时，应找出原因，纠正错误后，重新进行校核。</w:t>
      </w:r>
    </w:p>
    <w:p>
      <w:pPr>
        <w:numPr>
          <w:ilvl w:val="0"/>
          <w:numId w:val="36"/>
        </w:numPr>
        <w:tabs>
          <w:tab w:val="left" w:pos="851"/>
        </w:tabs>
        <w:spacing w:line="240" w:lineRule="auto"/>
        <w:ind w:left="851" w:hanging="426"/>
        <w:rPr>
          <w:rFonts w:ascii="宋体" w:hAnsi="Times New Roman"/>
        </w:rPr>
      </w:pPr>
      <w:r>
        <w:rPr>
          <w:rFonts w:hint="eastAsia" w:ascii="宋体" w:hAnsi="Times New Roman"/>
        </w:rPr>
        <w:t>每批样品（一批样品数量不大于20个时）或每20个样品（一批样品数量大于20个时）应至少做一个空白试验。</w:t>
      </w:r>
    </w:p>
    <w:p>
      <w:pPr>
        <w:numPr>
          <w:ilvl w:val="0"/>
          <w:numId w:val="36"/>
        </w:numPr>
        <w:tabs>
          <w:tab w:val="left" w:pos="851"/>
        </w:tabs>
        <w:spacing w:line="240" w:lineRule="auto"/>
        <w:ind w:left="851" w:hanging="426"/>
        <w:rPr>
          <w:rFonts w:ascii="宋体" w:hAnsi="Times New Roman"/>
        </w:rPr>
      </w:pPr>
      <w:r>
        <w:rPr>
          <w:rFonts w:hint="eastAsia" w:ascii="宋体" w:hAnsi="Times New Roman"/>
        </w:rPr>
        <w:t>每批样品（一批样品数量不大于</w:t>
      </w:r>
      <w:r>
        <w:rPr>
          <w:rFonts w:ascii="宋体" w:hAnsi="Times New Roman"/>
        </w:rPr>
        <w:t>20</w:t>
      </w:r>
      <w:r>
        <w:rPr>
          <w:rFonts w:hint="eastAsia" w:ascii="宋体" w:hAnsi="Times New Roman"/>
        </w:rPr>
        <w:t>个时）或每</w:t>
      </w:r>
      <w:r>
        <w:rPr>
          <w:rFonts w:ascii="宋体" w:hAnsi="Times New Roman"/>
        </w:rPr>
        <w:t>20</w:t>
      </w:r>
      <w:r>
        <w:rPr>
          <w:rFonts w:hint="eastAsia" w:ascii="宋体" w:hAnsi="Times New Roman"/>
        </w:rPr>
        <w:t>个样品（一批样品数量大于</w:t>
      </w:r>
      <w:r>
        <w:rPr>
          <w:rFonts w:ascii="宋体" w:hAnsi="Times New Roman"/>
        </w:rPr>
        <w:t>20</w:t>
      </w:r>
      <w:r>
        <w:rPr>
          <w:rFonts w:hint="eastAsia" w:ascii="宋体" w:hAnsi="Times New Roman"/>
        </w:rPr>
        <w:t>个时）应用控制样品做应至少测定</w:t>
      </w:r>
      <w:r>
        <w:rPr>
          <w:rFonts w:ascii="宋体" w:hAnsi="Times New Roman"/>
        </w:rPr>
        <w:t>100%</w:t>
      </w:r>
      <w:r>
        <w:rPr>
          <w:rFonts w:hint="eastAsia" w:ascii="宋体" w:hAnsi="Times New Roman"/>
        </w:rPr>
        <w:t>的加标回收样品，样品数不足</w:t>
      </w:r>
      <w:r>
        <w:rPr>
          <w:rFonts w:ascii="宋体" w:hAnsi="Times New Roman"/>
        </w:rPr>
        <w:t>10</w:t>
      </w:r>
      <w:r>
        <w:rPr>
          <w:rFonts w:hint="eastAsia" w:ascii="宋体" w:hAnsi="Times New Roman"/>
        </w:rPr>
        <w:t>个时，应至少测定一个加标回收样品，加标回收率应在</w:t>
      </w:r>
      <w:r>
        <w:rPr>
          <w:rFonts w:ascii="宋体" w:hAnsi="Times New Roman"/>
        </w:rPr>
        <w:t>80 %</w:t>
      </w:r>
      <w:r>
        <w:rPr>
          <w:rFonts w:hint="eastAsia" w:ascii="宋体" w:hAnsi="Times New Roman"/>
        </w:rPr>
        <w:t>～</w:t>
      </w:r>
      <w:r>
        <w:rPr>
          <w:rFonts w:ascii="宋体" w:hAnsi="Times New Roman"/>
        </w:rPr>
        <w:t>120 %</w:t>
      </w:r>
      <w:r>
        <w:rPr>
          <w:rFonts w:hint="eastAsia" w:ascii="宋体" w:hAnsi="Times New Roman"/>
        </w:rPr>
        <w:t>。</w:t>
      </w:r>
    </w:p>
    <w:p>
      <w:pPr>
        <w:pStyle w:val="106"/>
        <w:spacing w:before="240" w:after="240"/>
      </w:pPr>
      <w:bookmarkStart w:id="162" w:name="_Toc137216897"/>
      <w:bookmarkStart w:id="163" w:name="_Toc137213652"/>
      <w:bookmarkStart w:id="164" w:name="_Toc138669876"/>
      <w:bookmarkStart w:id="165" w:name="_Toc137213726"/>
      <w:bookmarkStart w:id="166" w:name="_Toc8111"/>
      <w:bookmarkStart w:id="167" w:name="_Toc137213688"/>
      <w:bookmarkStart w:id="168" w:name="_Toc138684719"/>
      <w:bookmarkStart w:id="169" w:name="_Toc25266"/>
      <w:r>
        <w:rPr>
          <w:rFonts w:hint="eastAsia"/>
        </w:rPr>
        <w:t>报告</w:t>
      </w:r>
      <w:bookmarkEnd w:id="162"/>
      <w:bookmarkEnd w:id="163"/>
      <w:bookmarkEnd w:id="164"/>
      <w:bookmarkEnd w:id="165"/>
      <w:bookmarkEnd w:id="166"/>
      <w:bookmarkEnd w:id="167"/>
      <w:bookmarkEnd w:id="168"/>
      <w:bookmarkEnd w:id="169"/>
    </w:p>
    <w:p>
      <w:pPr>
        <w:pStyle w:val="58"/>
        <w:autoSpaceDE w:val="0"/>
        <w:autoSpaceDN w:val="0"/>
        <w:ind w:firstLine="420" w:firstLineChars="200"/>
      </w:pPr>
      <w:r>
        <w:rPr>
          <w:rFonts w:hint="eastAsia"/>
        </w:rPr>
        <w:t>试验报告至少包含下列内容：</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样品来源；</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样品编号、名称、规格，试样所经历的老化过程，注明老化结束到取样的时间；</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测试环境；</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所使用的标准编号和所使用的方法；</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测试仪器名称、型号；</w:t>
      </w:r>
    </w:p>
    <w:p>
      <w:pPr>
        <w:numPr>
          <w:ilvl w:val="0"/>
          <w:numId w:val="37"/>
        </w:numPr>
        <w:tabs>
          <w:tab w:val="left" w:pos="851"/>
        </w:tabs>
        <w:spacing w:line="240" w:lineRule="auto"/>
        <w:ind w:left="851" w:hanging="426"/>
        <w:rPr>
          <w:rFonts w:ascii="宋体" w:hAnsi="Times New Roman"/>
        </w:rPr>
      </w:pPr>
      <w:r>
        <w:rPr>
          <w:rFonts w:hint="eastAsia" w:ascii="宋体" w:hAnsi="Times New Roman"/>
        </w:rPr>
        <w:t>酸值测试所用的KOH乙醇溶液的浓度；</w:t>
      </w:r>
    </w:p>
    <w:p>
      <w:pPr>
        <w:numPr>
          <w:ilvl w:val="0"/>
          <w:numId w:val="37"/>
        </w:numPr>
        <w:tabs>
          <w:tab w:val="left" w:pos="851"/>
        </w:tabs>
        <w:spacing w:line="240" w:lineRule="auto"/>
        <w:ind w:left="851" w:hanging="426"/>
        <w:rPr>
          <w:rFonts w:ascii="宋体" w:hAnsi="Times New Roman"/>
        </w:rPr>
      </w:pPr>
      <w:r>
        <w:rPr>
          <w:rFonts w:hint="eastAsia" w:ascii="宋体" w:hAnsi="Times New Roman"/>
        </w:rPr>
        <w:t>醋酸及醋酸根含量测试采用的标准物质或工作基准试剂的名称、编号；</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测试结果，报告两个有效测试结果（重复测试）及其平均值，结果保留到整数；酸值测试报告酸值结果，醋酸及醋酸根含量测试报告以醋酸钠计或者以醋酸计的结果；</w:t>
      </w:r>
    </w:p>
    <w:p>
      <w:pPr>
        <w:numPr>
          <w:ilvl w:val="0"/>
          <w:numId w:val="37"/>
        </w:numPr>
        <w:tabs>
          <w:tab w:val="left" w:pos="851"/>
        </w:tabs>
        <w:spacing w:line="240" w:lineRule="auto"/>
        <w:ind w:left="851" w:hanging="426"/>
        <w:rPr>
          <w:rFonts w:ascii="宋体" w:hAnsi="Times New Roman"/>
        </w:rPr>
      </w:pPr>
      <w:r>
        <w:rPr>
          <w:rFonts w:hint="eastAsia" w:ascii="宋体" w:hAnsi="Times New Roman"/>
        </w:rPr>
        <w:t>测试过程中观察到的异常现象；</w:t>
      </w:r>
    </w:p>
    <w:p>
      <w:pPr>
        <w:numPr>
          <w:ilvl w:val="0"/>
          <w:numId w:val="37"/>
        </w:numPr>
        <w:tabs>
          <w:tab w:val="left" w:pos="851"/>
        </w:tabs>
        <w:spacing w:line="240" w:lineRule="auto"/>
        <w:ind w:left="850" w:hanging="425"/>
      </w:pPr>
      <w:r>
        <w:rPr>
          <w:rFonts w:hint="eastAsia" w:ascii="宋体" w:hAnsi="Times New Roman"/>
        </w:rPr>
        <w:t>测试者姓名、测试单位、测试日期。</w:t>
      </w:r>
    </w:p>
    <w:bookmarkEnd w:id="40"/>
    <w:bookmarkEnd w:id="41"/>
    <w:bookmarkEnd w:id="42"/>
    <w:bookmarkEnd w:id="43"/>
    <w:bookmarkEnd w:id="44"/>
    <w:p>
      <w:pPr>
        <w:pStyle w:val="155"/>
        <w:numPr>
          <w:ilvl w:val="4"/>
          <w:numId w:val="0"/>
        </w:numPr>
      </w:pPr>
    </w:p>
    <w:p>
      <w:pPr>
        <w:pStyle w:val="176"/>
        <w:numPr>
          <w:ilvl w:val="0"/>
          <w:numId w:val="0"/>
        </w:numPr>
      </w:pPr>
    </w:p>
    <w:p>
      <w:pPr>
        <w:pStyle w:val="176"/>
        <w:numPr>
          <w:ilvl w:val="0"/>
          <w:numId w:val="0"/>
        </w:numPr>
        <w:sectPr>
          <w:headerReference r:id="rId17" w:type="default"/>
          <w:footerReference r:id="rId19" w:type="default"/>
          <w:headerReference r:id="rId18" w:type="even"/>
          <w:footerReference r:id="rId20" w:type="even"/>
          <w:pgSz w:w="11906" w:h="16838"/>
          <w:pgMar w:top="567" w:right="1134" w:bottom="1134" w:left="1134" w:header="1418" w:footer="1134" w:gutter="284"/>
          <w:pgNumType w:start="1"/>
          <w:cols w:space="425" w:num="1"/>
          <w:formProt w:val="0"/>
          <w:docGrid w:linePitch="312" w:charSpace="0"/>
        </w:sectPr>
      </w:pPr>
    </w:p>
    <w:bookmarkEnd w:id="25"/>
    <w:p>
      <w:pPr>
        <w:pStyle w:val="78"/>
        <w:spacing w:before="567" w:beforeLines="0" w:after="283" w:afterLines="0"/>
      </w:pPr>
      <w:bookmarkStart w:id="170" w:name="_Toc21180"/>
      <w:bookmarkStart w:id="171" w:name="_Toc161"/>
      <w:bookmarkStart w:id="172" w:name="BookMark5"/>
      <w:r>
        <w:br w:type="textWrapping"/>
      </w:r>
      <w:bookmarkStart w:id="173" w:name="_Toc79505699"/>
      <w:r>
        <w:rPr>
          <w:rFonts w:hint="eastAsia"/>
        </w:rPr>
        <w:t>（规范性）</w:t>
      </w:r>
      <w:r>
        <w:br w:type="textWrapping"/>
      </w:r>
      <w:r>
        <w:rPr>
          <w:rFonts w:hint="eastAsia"/>
        </w:rPr>
        <w:t>KOH乙醇标准滴定溶液配制与标定</w:t>
      </w:r>
      <w:bookmarkEnd w:id="170"/>
      <w:bookmarkEnd w:id="171"/>
      <w:bookmarkEnd w:id="173"/>
    </w:p>
    <w:p>
      <w:pPr>
        <w:pStyle w:val="80"/>
        <w:spacing w:before="120" w:after="120"/>
      </w:pPr>
      <w:bookmarkStart w:id="174" w:name="_Toc28709"/>
      <w:bookmarkStart w:id="175" w:name="_Toc8557"/>
      <w:r>
        <w:rPr>
          <w:rFonts w:hint="eastAsia"/>
        </w:rPr>
        <w:t>试剂和仪器</w:t>
      </w:r>
      <w:bookmarkEnd w:id="174"/>
      <w:bookmarkEnd w:id="175"/>
    </w:p>
    <w:p>
      <w:pPr>
        <w:pStyle w:val="214"/>
        <w:widowControl/>
        <w:numPr>
          <w:ilvl w:val="2"/>
          <w:numId w:val="4"/>
        </w:numPr>
        <w:wordWrap w:val="0"/>
        <w:overflowPunct w:val="0"/>
        <w:autoSpaceDE w:val="0"/>
        <w:autoSpaceDN w:val="0"/>
        <w:spacing w:line="240" w:lineRule="auto"/>
        <w:textAlignment w:val="baseline"/>
      </w:pPr>
      <w:r>
        <w:rPr>
          <w:rFonts w:hint="eastAsia"/>
        </w:rPr>
        <w:t>试验所用水均为无二氧化碳的去离子水，按GB/T 603制备：将去离子水注入烧瓶中，煮沸10 min，立即用装有钠石灰管的胶塞塞紧，冷却。</w:t>
      </w:r>
    </w:p>
    <w:p>
      <w:pPr>
        <w:pStyle w:val="214"/>
        <w:widowControl/>
        <w:numPr>
          <w:ilvl w:val="2"/>
          <w:numId w:val="4"/>
        </w:numPr>
        <w:wordWrap w:val="0"/>
        <w:overflowPunct w:val="0"/>
        <w:autoSpaceDE w:val="0"/>
        <w:autoSpaceDN w:val="0"/>
        <w:spacing w:line="240" w:lineRule="auto"/>
        <w:textAlignment w:val="baseline"/>
      </w:pPr>
      <w:r>
        <w:rPr>
          <w:rFonts w:hint="eastAsia"/>
        </w:rPr>
        <w:t>无水乙醇（ρ约0.79 g/mL）：优级纯，水分≤0.2%。</w:t>
      </w:r>
    </w:p>
    <w:p>
      <w:pPr>
        <w:pStyle w:val="214"/>
        <w:widowControl/>
        <w:numPr>
          <w:ilvl w:val="2"/>
          <w:numId w:val="4"/>
        </w:numPr>
        <w:wordWrap w:val="0"/>
        <w:overflowPunct w:val="0"/>
        <w:autoSpaceDE w:val="0"/>
        <w:autoSpaceDN w:val="0"/>
        <w:spacing w:line="240" w:lineRule="auto"/>
        <w:textAlignment w:val="baseline"/>
      </w:pPr>
      <w:r>
        <w:rPr>
          <w:rFonts w:hint="eastAsia"/>
        </w:rPr>
        <w:t>酚酞指示剂：称取0.5 g酚酞，加入无水乙醇溶解定容至100 ml，待用于KOH乙醇标准滴定溶液的标定。</w:t>
      </w:r>
    </w:p>
    <w:p>
      <w:pPr>
        <w:pStyle w:val="214"/>
        <w:widowControl/>
        <w:numPr>
          <w:ilvl w:val="2"/>
          <w:numId w:val="4"/>
        </w:numPr>
        <w:wordWrap w:val="0"/>
        <w:overflowPunct w:val="0"/>
        <w:autoSpaceDE w:val="0"/>
        <w:autoSpaceDN w:val="0"/>
        <w:spacing w:line="240" w:lineRule="auto"/>
        <w:textAlignment w:val="baseline"/>
      </w:pPr>
      <w:r>
        <w:rPr>
          <w:rFonts w:hint="eastAsia"/>
        </w:rPr>
        <w:t>邻苯二甲酸氢钾：分析纯，纯度≥99.8%。</w:t>
      </w:r>
    </w:p>
    <w:p>
      <w:pPr>
        <w:pStyle w:val="214"/>
        <w:widowControl/>
        <w:numPr>
          <w:ilvl w:val="2"/>
          <w:numId w:val="4"/>
        </w:numPr>
        <w:wordWrap w:val="0"/>
        <w:overflowPunct w:val="0"/>
        <w:autoSpaceDE w:val="0"/>
        <w:autoSpaceDN w:val="0"/>
        <w:spacing w:line="240" w:lineRule="auto"/>
        <w:textAlignment w:val="baseline"/>
      </w:pPr>
      <w:r>
        <w:rPr>
          <w:rFonts w:hint="eastAsia"/>
        </w:rPr>
        <w:t>酸碱式两用滴定管：A级符合GB/T 12805要求，容量分别为10 mL（精度为0.02 mL）和50 mL（精度为0.05 mL）。</w:t>
      </w:r>
    </w:p>
    <w:p>
      <w:pPr>
        <w:pStyle w:val="214"/>
        <w:widowControl/>
        <w:numPr>
          <w:ilvl w:val="2"/>
          <w:numId w:val="4"/>
        </w:numPr>
        <w:wordWrap w:val="0"/>
        <w:overflowPunct w:val="0"/>
        <w:autoSpaceDE w:val="0"/>
        <w:autoSpaceDN w:val="0"/>
        <w:spacing w:line="240" w:lineRule="auto"/>
        <w:textAlignment w:val="baseline"/>
      </w:pPr>
      <w:r>
        <w:rPr>
          <w:rFonts w:hint="eastAsia"/>
        </w:rPr>
        <w:t>500 mL容量瓶。</w:t>
      </w:r>
    </w:p>
    <w:p>
      <w:pPr>
        <w:pStyle w:val="214"/>
        <w:widowControl/>
        <w:numPr>
          <w:ilvl w:val="2"/>
          <w:numId w:val="4"/>
        </w:numPr>
        <w:wordWrap w:val="0"/>
        <w:overflowPunct w:val="0"/>
        <w:autoSpaceDE w:val="0"/>
        <w:autoSpaceDN w:val="0"/>
        <w:spacing w:line="240" w:lineRule="auto"/>
        <w:textAlignment w:val="baseline"/>
      </w:pPr>
      <w:r>
        <w:rPr>
          <w:rFonts w:hint="eastAsia"/>
        </w:rPr>
        <w:t>50 mL单标移液管。</w:t>
      </w:r>
    </w:p>
    <w:p>
      <w:pPr>
        <w:pStyle w:val="214"/>
        <w:widowControl/>
        <w:numPr>
          <w:ilvl w:val="2"/>
          <w:numId w:val="4"/>
        </w:numPr>
        <w:wordWrap w:val="0"/>
        <w:overflowPunct w:val="0"/>
        <w:autoSpaceDE w:val="0"/>
        <w:autoSpaceDN w:val="0"/>
        <w:spacing w:line="240" w:lineRule="auto"/>
        <w:textAlignment w:val="baseline"/>
      </w:pPr>
      <w:r>
        <w:rPr>
          <w:rFonts w:hint="eastAsia"/>
        </w:rPr>
        <w:t>锥形瓶。</w:t>
      </w:r>
    </w:p>
    <w:p>
      <w:pPr>
        <w:pStyle w:val="214"/>
        <w:widowControl/>
        <w:numPr>
          <w:ilvl w:val="2"/>
          <w:numId w:val="4"/>
        </w:numPr>
        <w:wordWrap w:val="0"/>
        <w:overflowPunct w:val="0"/>
        <w:autoSpaceDE w:val="0"/>
        <w:autoSpaceDN w:val="0"/>
        <w:spacing w:line="240" w:lineRule="auto"/>
        <w:textAlignment w:val="baseline"/>
      </w:pPr>
      <w:r>
        <w:rPr>
          <w:rFonts w:hint="eastAsia"/>
        </w:rPr>
        <w:t>电子天平：精度0.01 mg。</w:t>
      </w:r>
    </w:p>
    <w:p>
      <w:pPr>
        <w:pStyle w:val="80"/>
        <w:spacing w:before="120" w:after="120"/>
      </w:pPr>
      <w:bookmarkStart w:id="176" w:name="_Toc31570"/>
      <w:bookmarkStart w:id="177" w:name="_Toc26690"/>
      <w:r>
        <w:rPr>
          <w:rFonts w:hint="eastAsia"/>
        </w:rPr>
        <w:t>溶液的配制</w:t>
      </w:r>
      <w:bookmarkEnd w:id="176"/>
      <w:bookmarkEnd w:id="177"/>
    </w:p>
    <w:p>
      <w:pPr>
        <w:pStyle w:val="81"/>
        <w:spacing w:before="120" w:after="120"/>
      </w:pPr>
      <w:r>
        <w:rPr>
          <w:rFonts w:hint="eastAsia"/>
        </w:rPr>
        <w:t>KOH乙醇溶液的配制</w:t>
      </w:r>
    </w:p>
    <w:p>
      <w:pPr>
        <w:pStyle w:val="215"/>
        <w:numPr>
          <w:ilvl w:val="3"/>
          <w:numId w:val="4"/>
        </w:numPr>
        <w:spacing w:line="240" w:lineRule="auto"/>
      </w:pPr>
      <w:r>
        <w:rPr>
          <w:rFonts w:hint="eastAsia"/>
        </w:rPr>
        <w:t>按GB/T 601配制浓度约为0.05 mol/L的KOH乙醇溶液，密闭避光静置2天～4天，待溶液清亮后，用塑料管虹吸上层清液至干燥无污染的聚乙烯容器中，密闭避光保存，待用。</w:t>
      </w:r>
    </w:p>
    <w:p>
      <w:pPr>
        <w:pStyle w:val="215"/>
        <w:numPr>
          <w:ilvl w:val="3"/>
          <w:numId w:val="4"/>
        </w:numPr>
        <w:spacing w:line="240" w:lineRule="auto"/>
      </w:pPr>
      <w:r>
        <w:rPr>
          <w:rFonts w:hint="eastAsia"/>
        </w:rPr>
        <w:t>配制浓度约为0.005 mol/L的KOH乙醇溶液：采用50 mL单标移液管从A.2.1.1制备的KOH乙醇溶液中量取50 mL到500 mL容量瓶中，加无水乙醇定容，待用。</w:t>
      </w:r>
    </w:p>
    <w:p>
      <w:pPr>
        <w:numPr>
          <w:ilvl w:val="0"/>
          <w:numId w:val="26"/>
        </w:numPr>
        <w:autoSpaceDE w:val="0"/>
        <w:autoSpaceDN w:val="0"/>
        <w:spacing w:line="240" w:lineRule="auto"/>
        <w:ind w:left="737" w:hanging="374"/>
        <w:rPr>
          <w:rFonts w:ascii="宋体" w:hAnsi="Times New Roman"/>
          <w:sz w:val="18"/>
          <w:szCs w:val="18"/>
        </w:rPr>
      </w:pPr>
      <w:r>
        <w:rPr>
          <w:rFonts w:hint="eastAsia" w:ascii="宋体" w:hAnsi="Times New Roman"/>
          <w:sz w:val="18"/>
          <w:szCs w:val="18"/>
        </w:rPr>
        <w:t>推荐使用KOH乙醇溶液的浓度为0.005 mol/L，若实际滴定酸值需要消耗KOH乙醇溶液体积偏小或偏大，则建议适当调整KOH乙醇溶液的浓度。</w:t>
      </w:r>
    </w:p>
    <w:p>
      <w:pPr>
        <w:pStyle w:val="81"/>
        <w:spacing w:before="120" w:after="120"/>
      </w:pPr>
      <w:r>
        <w:rPr>
          <w:rFonts w:hint="eastAsia"/>
        </w:rPr>
        <w:t>邻苯二甲酸氢钾水溶液的配制</w:t>
      </w:r>
    </w:p>
    <w:p>
      <w:pPr>
        <w:pStyle w:val="58"/>
        <w:autoSpaceDE w:val="0"/>
        <w:autoSpaceDN w:val="0"/>
        <w:ind w:firstLine="420" w:firstLineChars="200"/>
      </w:pPr>
      <w:r>
        <w:rPr>
          <w:rFonts w:hint="eastAsia"/>
        </w:rPr>
        <w:t>使用前，先将邻苯二甲酸氢钾试剂取出盛放于干净的容器中，放入105℃-110℃烘箱中干燥至恒重，采用减重法称取约0.03750 g邻苯二甲酸氢钾（记录实际称取的邻苯二甲酸氢钾的质量（m1）），精确至0.01 mg，溶解于50 mL水中。</w:t>
      </w:r>
    </w:p>
    <w:p>
      <w:pPr>
        <w:numPr>
          <w:ilvl w:val="0"/>
          <w:numId w:val="26"/>
        </w:numPr>
        <w:autoSpaceDE w:val="0"/>
        <w:autoSpaceDN w:val="0"/>
        <w:spacing w:line="240" w:lineRule="auto"/>
        <w:ind w:left="737" w:hanging="374"/>
        <w:rPr>
          <w:rFonts w:ascii="宋体" w:hAnsi="Times New Roman"/>
          <w:sz w:val="18"/>
          <w:szCs w:val="18"/>
        </w:rPr>
      </w:pPr>
      <w:r>
        <w:rPr>
          <w:rFonts w:hint="eastAsia" w:ascii="宋体" w:hAnsi="Times New Roman"/>
          <w:sz w:val="18"/>
          <w:szCs w:val="18"/>
        </w:rPr>
        <w:t>上述邻苯二甲酸氢钾水溶液的浓度对应KOH乙醇溶液浓度为0.005 mol/L，针对不同浓度的KOH乙醇溶液需配制适宜浓度的邻苯二甲酸氢钾水溶液。</w:t>
      </w:r>
    </w:p>
    <w:p>
      <w:pPr>
        <w:pStyle w:val="80"/>
        <w:spacing w:before="120" w:after="120"/>
      </w:pPr>
      <w:bookmarkStart w:id="178" w:name="_Toc27532"/>
      <w:bookmarkStart w:id="179" w:name="_Toc31672"/>
      <w:r>
        <w:rPr>
          <w:rFonts w:hint="eastAsia"/>
        </w:rPr>
        <w:t>标定</w:t>
      </w:r>
      <w:bookmarkEnd w:id="178"/>
      <w:bookmarkEnd w:id="179"/>
    </w:p>
    <w:p>
      <w:pPr>
        <w:pStyle w:val="81"/>
        <w:spacing w:before="120" w:after="120"/>
      </w:pPr>
      <w:r>
        <w:rPr>
          <w:rFonts w:hint="eastAsia"/>
        </w:rPr>
        <w:t>空白对比样</w:t>
      </w:r>
    </w:p>
    <w:p>
      <w:pPr>
        <w:pStyle w:val="58"/>
        <w:autoSpaceDE w:val="0"/>
        <w:autoSpaceDN w:val="0"/>
        <w:ind w:firstLine="420" w:firstLineChars="200"/>
      </w:pPr>
      <w:r>
        <w:rPr>
          <w:rFonts w:hint="eastAsia"/>
        </w:rPr>
        <w:t>取50 mL水于锥形瓶中，并滴加约2滴～3滴（5 mL塑料滴管计量）的酚酞指示剂，用A.2.1.2中静置待用的KOH乙醇溶液进行滴定，至终点颜色(浅粉色)，且保持30 s不变色。记录KOH乙醇溶液实际消耗的体积（</w:t>
      </w:r>
      <w:r>
        <w:rPr>
          <w:rFonts w:hint="eastAsia" w:hAnsi="宋体" w:cs="宋体"/>
          <w:i/>
          <w:iCs/>
        </w:rPr>
        <w:t>V</w:t>
      </w:r>
      <w:r>
        <w:rPr>
          <w:rFonts w:hint="eastAsia" w:hAnsi="宋体" w:cs="宋体"/>
          <w:i/>
          <w:iCs/>
          <w:vertAlign w:val="subscript"/>
        </w:rPr>
        <w:t>1</w:t>
      </w:r>
      <w:r>
        <w:rPr>
          <w:rFonts w:hint="eastAsia"/>
        </w:rPr>
        <w:t>）。</w:t>
      </w:r>
    </w:p>
    <w:p>
      <w:pPr>
        <w:pStyle w:val="81"/>
        <w:spacing w:before="120" w:after="120"/>
      </w:pPr>
      <w:r>
        <w:rPr>
          <w:rFonts w:hint="eastAsia"/>
        </w:rPr>
        <w:t>邻苯二甲酸氢钾溶液</w:t>
      </w:r>
    </w:p>
    <w:p>
      <w:pPr>
        <w:pStyle w:val="58"/>
        <w:autoSpaceDE w:val="0"/>
        <w:autoSpaceDN w:val="0"/>
        <w:ind w:firstLine="420" w:firstLineChars="200"/>
      </w:pPr>
      <w:r>
        <w:rPr>
          <w:rFonts w:hint="eastAsia"/>
        </w:rPr>
        <w:t>在装有50 mL邻苯二甲酸氢钾水溶液(A.2.2)的锥形瓶中滴加约2滴～3滴的酚酞指示剂（5 ml塑料滴管计量</w:t>
      </w:r>
      <w:r>
        <w:rPr>
          <w:rFonts w:hint="eastAsia"/>
          <w:lang w:eastAsia="zh-CN"/>
        </w:rPr>
        <w:t>，</w:t>
      </w:r>
      <w:r>
        <w:rPr>
          <w:rFonts w:hint="eastAsia"/>
        </w:rPr>
        <w:t>A.1.3），同样用</w:t>
      </w:r>
      <w:r>
        <w:t>A</w:t>
      </w:r>
      <w:r>
        <w:rPr>
          <w:rFonts w:hint="eastAsia"/>
        </w:rPr>
        <w:t>.2.1.2中静置待用的KOH乙醇溶液进行滴定，至终点颜色(浅粉色)与空白对比样一致，且保持30 s不变色。记录KOH乙醇溶液实际消耗的体积（</w:t>
      </w:r>
      <w:r>
        <w:rPr>
          <w:rFonts w:hint="eastAsia" w:hAnsi="宋体" w:cs="宋体"/>
          <w:i/>
          <w:iCs/>
        </w:rPr>
        <w:t>V</w:t>
      </w:r>
      <w:r>
        <w:rPr>
          <w:rFonts w:hint="eastAsia" w:hAnsi="宋体" w:cs="宋体"/>
          <w:i/>
          <w:iCs/>
          <w:vertAlign w:val="subscript"/>
        </w:rPr>
        <w:t>2</w:t>
      </w:r>
      <w:r>
        <w:rPr>
          <w:rFonts w:hint="eastAsia"/>
        </w:rPr>
        <w:t>）。</w:t>
      </w:r>
    </w:p>
    <w:p>
      <w:pPr>
        <w:pStyle w:val="80"/>
        <w:spacing w:before="120" w:after="120"/>
      </w:pPr>
      <w:bookmarkStart w:id="180" w:name="_Toc18275"/>
      <w:bookmarkStart w:id="181" w:name="_Toc18641"/>
      <w:r>
        <w:rPr>
          <w:rFonts w:hint="eastAsia"/>
        </w:rPr>
        <w:t>计算</w:t>
      </w:r>
      <w:bookmarkEnd w:id="180"/>
      <w:bookmarkEnd w:id="181"/>
      <w:r>
        <w:rPr>
          <w:rFonts w:hint="eastAsia"/>
        </w:rPr>
        <w:t xml:space="preserve"> </w:t>
      </w:r>
    </w:p>
    <w:p>
      <w:pPr>
        <w:pStyle w:val="58"/>
        <w:autoSpaceDE w:val="0"/>
        <w:autoSpaceDN w:val="0"/>
        <w:ind w:firstLine="420" w:firstLineChars="200"/>
      </w:pPr>
      <w:r>
        <w:rPr>
          <w:rFonts w:hint="eastAsia"/>
        </w:rPr>
        <w:t>KOH乙醇标准滴定溶液的浓度（</w:t>
      </w:r>
      <w:r>
        <w:rPr>
          <w:rFonts w:ascii="Cambria Math" w:hAnsi="Cambria Math"/>
          <w:i/>
          <w:iCs/>
        </w:rPr>
        <w:t>C</w:t>
      </w:r>
      <w:r>
        <w:rPr>
          <w:rFonts w:ascii="Cambria Math" w:hAnsi="Cambria Math"/>
          <w:i/>
          <w:iCs/>
          <w:vertAlign w:val="subscript"/>
        </w:rPr>
        <w:t>(KOH)</w:t>
      </w:r>
      <w:r>
        <w:rPr>
          <w:rFonts w:hint="eastAsia"/>
        </w:rPr>
        <w:t>），结果保留4位有效数字，按式（A.1）计算：</w:t>
      </w:r>
    </w:p>
    <w:p>
      <w:pPr>
        <w:pStyle w:val="115"/>
      </w:pPr>
      <w:r>
        <w:tab/>
      </w:r>
      <m:oMath>
        <m:sSub>
          <w:bookmarkStart w:id="182" w:name="_Hlk138678346"/>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(KOH)</m:t>
            </m:r>
            <w:bookmarkEnd w:id="182"/>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×1000</m:t>
            </m:r>
            <m:ctrlPr>
              <w:rPr>
                <w:rFonts w:ascii="Cambria Math" w:hAnsi="Cambria Math"/>
                <w:i/>
              </w:rPr>
            </m:ctrlPr>
          </m:num>
          <m:den>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m:t>
            </m:r>
            <m:ctrlPr>
              <w:rPr>
                <w:rFonts w:ascii="Cambria Math" w:hAnsi="Cambria Math"/>
                <w:i/>
              </w:rPr>
            </m:ctrlPr>
          </m:den>
        </m:f>
      </m:oMath>
      <w:r>
        <w:rPr>
          <w:rFonts w:ascii="微软雅黑" w:hAnsi="微软雅黑" w:eastAsia="微软雅黑"/>
        </w:rPr>
        <w:tab/>
      </w:r>
      <w:r>
        <w:t>(A</w:t>
      </w:r>
      <w:r>
        <w:rPr>
          <w:rFonts w:hint="eastAsia"/>
        </w:rPr>
        <w:t>.</w:t>
      </w:r>
      <w:r>
        <w:fldChar w:fldCharType="begin"/>
      </w:r>
      <w:r>
        <w:instrText xml:space="preserve"> seq fulu_equation_133322216483961943 </w:instrText>
      </w:r>
      <w:r>
        <w:fldChar w:fldCharType="separate"/>
      </w:r>
      <w:r>
        <w:t>1</w:t>
      </w:r>
      <w:r>
        <w:fldChar w:fldCharType="end"/>
      </w:r>
      <w:r>
        <w:t>)</w:t>
      </w:r>
    </w:p>
    <w:p>
      <w:pPr>
        <w:pStyle w:val="58"/>
        <w:snapToGrid w:val="0"/>
        <w:spacing w:line="240" w:lineRule="auto"/>
        <w:ind w:firstLine="420" w:firstLineChars="200"/>
      </w:pPr>
      <w:r>
        <w:rPr>
          <w:rFonts w:hint="eastAsia"/>
        </w:rPr>
        <w:t>式中：</w:t>
      </w:r>
    </w:p>
    <w:p>
      <w:pPr>
        <w:pStyle w:val="58"/>
        <w:ind w:firstLine="420"/>
        <w:rPr>
          <w:rFonts w:hAnsi="宋体" w:cs="宋体"/>
          <w:i/>
          <w:iCs/>
        </w:rPr>
      </w:pPr>
      <w:r>
        <w:rPr>
          <w:rFonts w:ascii="宋体" w:hAnsi="宋体"/>
          <w:i/>
          <w:iCs/>
        </w:rPr>
        <w:t>C</w:t>
      </w:r>
      <w:r>
        <w:rPr>
          <w:rFonts w:ascii="宋体" w:hAnsi="宋体"/>
          <w:i/>
          <w:iCs/>
          <w:vertAlign w:val="subscript"/>
        </w:rPr>
        <w:t>(KOH)</w:t>
      </w:r>
      <w:r>
        <w:rPr>
          <w:rFonts w:hint="eastAsia" w:ascii="Times New Roman"/>
          <w:lang w:val="en-US" w:eastAsia="zh-CN"/>
        </w:rPr>
        <w:tab/>
      </w:r>
      <w:r>
        <w:rPr>
          <w:rFonts w:ascii="Times New Roman"/>
        </w:rPr>
        <w:t>——</w:t>
      </w:r>
      <w:r>
        <w:rPr>
          <w:rFonts w:hint="eastAsia"/>
        </w:rPr>
        <w:t>KOH乙醇标准滴定溶液的浓度，单位为克每毫升（g</w:t>
      </w:r>
      <w:r>
        <w:t>/</w:t>
      </w:r>
      <w:r>
        <w:rPr>
          <w:rFonts w:hint="eastAsia"/>
        </w:rPr>
        <w:t>mL）；</w:t>
      </w:r>
    </w:p>
    <w:p>
      <w:pPr>
        <w:pStyle w:val="58"/>
        <w:autoSpaceDE w:val="0"/>
        <w:autoSpaceDN w:val="0"/>
        <w:ind w:firstLine="420" w:firstLineChars="200"/>
      </w:pPr>
      <w:r>
        <w:rPr>
          <w:rFonts w:hint="eastAsia" w:hAnsi="宋体" w:cs="宋体"/>
          <w:i/>
          <w:iCs/>
        </w:rPr>
        <w:t>m</w:t>
      </w:r>
      <w:r>
        <w:rPr>
          <w:rFonts w:hint="eastAsia" w:hAnsi="宋体" w:cs="宋体"/>
          <w:i/>
          <w:iCs/>
          <w:vertAlign w:val="subscript"/>
        </w:rPr>
        <w:t>1</w:t>
      </w:r>
      <w:r>
        <w:tab/>
      </w:r>
      <w:r>
        <w:rPr>
          <w:rFonts w:ascii="Times New Roman"/>
        </w:rPr>
        <w:t>——</w:t>
      </w:r>
      <w:r>
        <w:rPr>
          <w:rFonts w:hint="eastAsia"/>
        </w:rPr>
        <w:t>邻苯二甲酸氢钾质量，单位为克（g）；</w:t>
      </w:r>
    </w:p>
    <w:p>
      <w:pPr>
        <w:pStyle w:val="58"/>
        <w:autoSpaceDE w:val="0"/>
        <w:autoSpaceDN w:val="0"/>
        <w:ind w:firstLine="420" w:firstLineChars="200"/>
      </w:pPr>
      <w:r>
        <w:rPr>
          <w:rFonts w:hint="eastAsia" w:hAnsi="宋体" w:cs="宋体"/>
          <w:i/>
          <w:iCs/>
        </w:rPr>
        <w:t>V</w:t>
      </w:r>
      <w:r>
        <w:rPr>
          <w:rFonts w:hint="eastAsia" w:hAnsi="宋体" w:cs="宋体"/>
          <w:i/>
          <w:iCs/>
          <w:vertAlign w:val="subscript"/>
        </w:rPr>
        <w:t>1</w:t>
      </w:r>
      <w:r>
        <w:tab/>
      </w:r>
      <w:r>
        <w:rPr>
          <w:rFonts w:ascii="Times New Roman"/>
        </w:rPr>
        <w:t>——</w:t>
      </w:r>
      <w:r>
        <w:rPr>
          <w:rFonts w:hint="eastAsia"/>
        </w:rPr>
        <w:t>空白对比样消耗KOH乙醇溶液的体积，单位为毫升（mL）；</w:t>
      </w:r>
    </w:p>
    <w:p>
      <w:pPr>
        <w:pStyle w:val="58"/>
        <w:autoSpaceDE w:val="0"/>
        <w:autoSpaceDN w:val="0"/>
        <w:ind w:firstLine="420" w:firstLineChars="200"/>
      </w:pPr>
      <w:r>
        <w:rPr>
          <w:rFonts w:hint="eastAsia" w:hAnsi="宋体" w:cs="宋体"/>
          <w:i/>
          <w:iCs/>
        </w:rPr>
        <w:t>V</w:t>
      </w:r>
      <w:r>
        <w:rPr>
          <w:rFonts w:hint="eastAsia" w:hAnsi="宋体" w:cs="宋体"/>
          <w:i/>
          <w:iCs/>
          <w:vertAlign w:val="subscript"/>
        </w:rPr>
        <w:t>2</w:t>
      </w:r>
      <w:r>
        <w:tab/>
      </w:r>
      <w:r>
        <w:rPr>
          <w:rFonts w:ascii="Times New Roman"/>
        </w:rPr>
        <w:t>——</w:t>
      </w:r>
      <w:r>
        <w:rPr>
          <w:rFonts w:hint="eastAsia"/>
        </w:rPr>
        <w:t>邻苯二甲酸氢钾水溶液消耗KOH乙醇溶液的体积，单位为毫升（mL）；</w:t>
      </w:r>
    </w:p>
    <w:p>
      <w:pPr>
        <w:pStyle w:val="58"/>
        <w:autoSpaceDE w:val="0"/>
        <w:autoSpaceDN w:val="0"/>
        <w:ind w:firstLine="420" w:firstLineChars="200"/>
      </w:pPr>
      <w:r>
        <w:rPr>
          <w:rFonts w:hint="eastAsia" w:hAnsi="宋体" w:cs="宋体"/>
          <w:i/>
          <w:iCs/>
        </w:rPr>
        <w:t>M</w:t>
      </w:r>
      <w:r>
        <w:tab/>
      </w:r>
      <w:r>
        <w:rPr>
          <w:rFonts w:ascii="Times New Roman"/>
        </w:rPr>
        <w:t>——</w:t>
      </w:r>
      <w:r>
        <w:rPr>
          <w:rFonts w:hint="eastAsia"/>
        </w:rPr>
        <w:t>邻苯二甲酸氢钾的摩尔质量，单位为克每摩尔（g/mol）[</w:t>
      </w:r>
      <w:r>
        <w:rPr>
          <w:rFonts w:hint="eastAsia" w:hAnsi="宋体" w:cs="宋体"/>
          <w:i/>
          <w:iCs/>
        </w:rPr>
        <w:t xml:space="preserve">M </w:t>
      </w:r>
      <w:r>
        <w:rPr>
          <w:rFonts w:hint="eastAsia"/>
        </w:rPr>
        <w:t>=204.22]。</w:t>
      </w:r>
    </w:p>
    <w:p>
      <w:pPr>
        <w:numPr>
          <w:ilvl w:val="0"/>
          <w:numId w:val="26"/>
        </w:numPr>
        <w:autoSpaceDE w:val="0"/>
        <w:autoSpaceDN w:val="0"/>
        <w:spacing w:line="240" w:lineRule="auto"/>
      </w:pPr>
      <w:r>
        <w:rPr>
          <w:rFonts w:hint="eastAsia" w:ascii="宋体" w:hAnsi="Times New Roman"/>
          <w:sz w:val="18"/>
          <w:szCs w:val="18"/>
        </w:rPr>
        <w:t>建议测试当日对KOH乙醇溶液进行单人四平行两人八平行测定，测定结果要求单人四平行结果个人极差＜3%，两人八平行结果总相对极差＜5%。</w:t>
      </w:r>
    </w:p>
    <w:p>
      <w:pPr>
        <w:pStyle w:val="213"/>
        <w:numPr>
          <w:ilvl w:val="0"/>
          <w:numId w:val="0"/>
        </w:numPr>
        <w:spacing w:line="240" w:lineRule="auto"/>
        <w:ind w:firstLine="420" w:firstLineChars="200"/>
      </w:pPr>
    </w:p>
    <w:p>
      <w:pPr>
        <w:pStyle w:val="176"/>
        <w:numPr>
          <w:ilvl w:val="0"/>
          <w:numId w:val="0"/>
        </w:numPr>
        <w:sectPr>
          <w:headerReference r:id="rId21" w:type="default"/>
          <w:footerReference r:id="rId23" w:type="default"/>
          <w:headerReference r:id="rId22" w:type="even"/>
          <w:footerReference r:id="rId24" w:type="even"/>
          <w:pgSz w:w="11906" w:h="16838"/>
          <w:pgMar w:top="567" w:right="1134" w:bottom="1134" w:left="1134" w:header="1418" w:footer="1134" w:gutter="284"/>
          <w:cols w:space="425" w:num="1"/>
          <w:formProt w:val="0"/>
          <w:docGrid w:linePitch="312" w:charSpace="0"/>
        </w:sectPr>
      </w:pPr>
    </w:p>
    <w:bookmarkEnd w:id="172"/>
    <w:p>
      <w:pPr>
        <w:pStyle w:val="65"/>
        <w:spacing w:before="567" w:beforeLines="0" w:after="283" w:afterLines="0"/>
      </w:pPr>
      <w:bookmarkStart w:id="183" w:name="_Toc22639"/>
      <w:bookmarkStart w:id="184" w:name="_Toc79505704"/>
      <w:bookmarkStart w:id="185" w:name="_Toc15768"/>
      <w:bookmarkStart w:id="186" w:name="BookMark6"/>
      <w:r>
        <w:rPr>
          <w:rFonts w:hint="eastAsia"/>
          <w:spacing w:val="105"/>
        </w:rPr>
        <w:t>参考文</w:t>
      </w:r>
      <w:r>
        <w:rPr>
          <w:rFonts w:hint="eastAsia"/>
        </w:rPr>
        <w:t>献</w:t>
      </w:r>
      <w:bookmarkEnd w:id="183"/>
      <w:bookmarkEnd w:id="184"/>
      <w:bookmarkEnd w:id="185"/>
    </w:p>
    <w:p>
      <w:pPr>
        <w:pStyle w:val="58"/>
        <w:ind w:firstLine="420"/>
      </w:pPr>
      <w:r>
        <w:rPr>
          <w:rFonts w:hint="eastAsia"/>
        </w:rPr>
        <w:t>[</w:t>
      </w:r>
      <w:r>
        <w:t xml:space="preserve">1]  </w:t>
      </w:r>
      <w:r>
        <w:rPr>
          <w:rFonts w:hint="eastAsia"/>
        </w:rPr>
        <w:t>黄文浩，刘毅，恽旻，丁彬斌. 光伏电池封装材料EVA中醋酸/醋酸根的测定[J].天津化工，2022，36(6)：61-64.</w:t>
      </w:r>
      <w:bookmarkEnd w:id="186"/>
      <w:bookmarkStart w:id="187" w:name="BookMark7"/>
    </w:p>
    <w:p>
      <w:pPr>
        <w:pStyle w:val="58"/>
        <w:ind w:firstLine="420"/>
      </w:pPr>
    </w:p>
    <w:p>
      <w:pPr>
        <w:pStyle w:val="212"/>
      </w:pPr>
    </w:p>
    <w:p>
      <w:pPr>
        <w:pStyle w:val="58"/>
        <w:ind w:firstLine="420"/>
      </w:pPr>
    </w:p>
    <w:bookmarkEnd w:id="187"/>
    <w:p>
      <w:pPr>
        <w:pStyle w:val="58"/>
        <w:ind w:firstLine="0" w:firstLineChars="0"/>
        <w:jc w:val="center"/>
      </w:pPr>
      <w:bookmarkStart w:id="188"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8"/>
    </w:p>
    <w:sectPr>
      <w:headerReference r:id="rId25" w:type="default"/>
      <w:footerReference r:id="rId27" w:type="default"/>
      <w:headerReference r:id="rId26" w:type="even"/>
      <w:footerReference r:id="rId28"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left="227"/>
    </w:pPr>
    <w:r>
      <w:fldChar w:fldCharType="begin"/>
    </w:r>
    <w:r>
      <w:instrText xml:space="preserve"> PAGE   \* MERGEFORMAT \* MERGEFORMAT </w:instrText>
    </w:r>
    <w:r>
      <w:fldChar w:fldCharType="separate"/>
    </w:r>
    <w:r>
      <w:t>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left="227"/>
    </w:pPr>
    <w:r>
      <w:fldChar w:fldCharType="begin"/>
    </w:r>
    <w:r>
      <w:instrText xml:space="preserve"> PAGE   \* MERGEFORMAT \* MERGEFORMAT </w:instrText>
    </w:r>
    <w:r>
      <w:fldChar w:fldCharType="separate"/>
    </w:r>
    <w: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0"/>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bordersDoNotSurroundHeader w:val="1"/>
  <w:bordersDoNotSurroundFooter w:val="1"/>
  <w:attachedTemplate r:id="rId1"/>
  <w:trackRevisions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2MWIxNWE4YmVlNWZhODcwMTY2NTcxYWJkYTdkOTQ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06C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877"/>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733"/>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1706"/>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0AE"/>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14D4"/>
    <w:rsid w:val="00722FBF"/>
    <w:rsid w:val="00722FC2"/>
    <w:rsid w:val="00724E1B"/>
    <w:rsid w:val="00725949"/>
    <w:rsid w:val="00727FA2"/>
    <w:rsid w:val="007322D9"/>
    <w:rsid w:val="00732BC0"/>
    <w:rsid w:val="00735E6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96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3D"/>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4AA"/>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15DD"/>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C6C9B"/>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39270A7"/>
    <w:rsid w:val="05455025"/>
    <w:rsid w:val="07482466"/>
    <w:rsid w:val="0A2B613D"/>
    <w:rsid w:val="0AD61C2B"/>
    <w:rsid w:val="0AF40651"/>
    <w:rsid w:val="0BC9759A"/>
    <w:rsid w:val="0D5631EC"/>
    <w:rsid w:val="1171753F"/>
    <w:rsid w:val="11A7084A"/>
    <w:rsid w:val="11E20396"/>
    <w:rsid w:val="155738C5"/>
    <w:rsid w:val="169F47C2"/>
    <w:rsid w:val="16D649CD"/>
    <w:rsid w:val="18417321"/>
    <w:rsid w:val="189325AF"/>
    <w:rsid w:val="19993C86"/>
    <w:rsid w:val="1E0B4354"/>
    <w:rsid w:val="1F2C4CA9"/>
    <w:rsid w:val="1FA44B19"/>
    <w:rsid w:val="1FD75AF5"/>
    <w:rsid w:val="20506B91"/>
    <w:rsid w:val="209070CD"/>
    <w:rsid w:val="225D32FD"/>
    <w:rsid w:val="24590292"/>
    <w:rsid w:val="251D4DD3"/>
    <w:rsid w:val="294A5611"/>
    <w:rsid w:val="2ADA0DA3"/>
    <w:rsid w:val="2E3F5A55"/>
    <w:rsid w:val="2E7524E1"/>
    <w:rsid w:val="2FBE4A30"/>
    <w:rsid w:val="304578AB"/>
    <w:rsid w:val="3097543A"/>
    <w:rsid w:val="313256B9"/>
    <w:rsid w:val="326018F8"/>
    <w:rsid w:val="380A5035"/>
    <w:rsid w:val="39C813AB"/>
    <w:rsid w:val="41116766"/>
    <w:rsid w:val="413C3725"/>
    <w:rsid w:val="44AD6265"/>
    <w:rsid w:val="490D6025"/>
    <w:rsid w:val="4A7D4E89"/>
    <w:rsid w:val="4BD874E8"/>
    <w:rsid w:val="4C953A4C"/>
    <w:rsid w:val="4E183F18"/>
    <w:rsid w:val="536D2181"/>
    <w:rsid w:val="53770B71"/>
    <w:rsid w:val="569C599D"/>
    <w:rsid w:val="56FE0A59"/>
    <w:rsid w:val="571841DF"/>
    <w:rsid w:val="57601EDE"/>
    <w:rsid w:val="57792B50"/>
    <w:rsid w:val="57F35EF5"/>
    <w:rsid w:val="5AE26BB1"/>
    <w:rsid w:val="5D7C60E7"/>
    <w:rsid w:val="5FC97768"/>
    <w:rsid w:val="60365E9E"/>
    <w:rsid w:val="638C2104"/>
    <w:rsid w:val="639A1770"/>
    <w:rsid w:val="647B4F74"/>
    <w:rsid w:val="653B1E3D"/>
    <w:rsid w:val="68A67238"/>
    <w:rsid w:val="68A76436"/>
    <w:rsid w:val="6C976B3C"/>
    <w:rsid w:val="6D287A99"/>
    <w:rsid w:val="6D420E87"/>
    <w:rsid w:val="6D805604"/>
    <w:rsid w:val="70A54505"/>
    <w:rsid w:val="71650598"/>
    <w:rsid w:val="71BC73A7"/>
    <w:rsid w:val="72D2262A"/>
    <w:rsid w:val="74961AFE"/>
    <w:rsid w:val="75D305B4"/>
    <w:rsid w:val="773E0809"/>
    <w:rsid w:val="779A61B1"/>
    <w:rsid w:val="7A6A64B6"/>
    <w:rsid w:val="7AD435B1"/>
    <w:rsid w:val="7E7F1366"/>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link w:val="239"/>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link w:val="235"/>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link w:val="237"/>
    <w:qFormat/>
    <w:uiPriority w:val="0"/>
    <w:pPr>
      <w:ind w:left="811" w:firstLine="0" w:firstLineChars="0"/>
    </w:pPr>
    <w:rPr>
      <w:sz w:val="18"/>
    </w:rPr>
  </w:style>
  <w:style w:type="paragraph" w:customStyle="1" w:styleId="208">
    <w:name w:val="标准文件_注X后"/>
    <w:basedOn w:val="58"/>
    <w:link w:val="236"/>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5">
    <w:name w:val="标准文件_注×： Char"/>
    <w:link w:val="182"/>
    <w:qFormat/>
    <w:uiPriority w:val="0"/>
    <w:rPr>
      <w:rFonts w:ascii="宋体" w:hAnsi="Times New Roman" w:eastAsia="宋体" w:cs="Times New Roman"/>
      <w:sz w:val="18"/>
      <w:szCs w:val="18"/>
      <w:lang w:val="en-US" w:eastAsia="zh-CN" w:bidi="ar-SA"/>
    </w:rPr>
  </w:style>
  <w:style w:type="character" w:customStyle="1" w:styleId="236">
    <w:name w:val="标准文件_注X后 Char"/>
    <w:link w:val="208"/>
    <w:qFormat/>
    <w:uiPriority w:val="0"/>
    <w:rPr>
      <w:sz w:val="18"/>
    </w:rPr>
  </w:style>
  <w:style w:type="character" w:customStyle="1" w:styleId="237">
    <w:name w:val="标准文件_注后 Char"/>
    <w:link w:val="207"/>
    <w:qFormat/>
    <w:uiPriority w:val="0"/>
    <w:rPr>
      <w:sz w:val="18"/>
    </w:rPr>
  </w:style>
  <w:style w:type="character" w:customStyle="1" w:styleId="238">
    <w:name w:val="标准文件_标准正文 Char"/>
    <w:link w:val="57"/>
    <w:qFormat/>
    <w:uiPriority w:val="0"/>
    <w:rPr>
      <w:kern w:val="0"/>
    </w:rPr>
  </w:style>
  <w:style w:type="character" w:customStyle="1" w:styleId="239">
    <w:name w:val="标准文件_公式后的破折号 Char"/>
    <w:link w:val="90"/>
    <w:qFormat/>
    <w:uiPriority w:val="0"/>
  </w:style>
  <w:style w:type="paragraph" w:customStyle="1" w:styleId="240">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jpeg"/><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ac3625a8-63fc-4bdf-918f-f935b5cef7b6}"/>
        <w:style w:val=""/>
        <w:category>
          <w:name w:val="常规"/>
          <w:gallery w:val="placeholder"/>
        </w:category>
        <w:types>
          <w:type w:val="bbPlcHdr"/>
        </w:types>
        <w:behaviors>
          <w:behavior w:val="content"/>
        </w:behaviors>
        <w:description w:val=""/>
        <w:guid w:val="{AC3625A8-63FC-4BDF-918F-F935B5CEF7B6}"/>
      </w:docPartPr>
      <w:docPartBody>
        <w:p>
          <w:pPr>
            <w:pStyle w:val="6"/>
          </w:pPr>
          <w:r>
            <w:rPr>
              <w:rStyle w:val="4"/>
              <w:rFonts w:hint="eastAsia"/>
            </w:rPr>
            <w:t>选择一项。</w:t>
          </w:r>
        </w:p>
      </w:docPartBody>
    </w:docPart>
    <w:docPart>
      <w:docPartPr>
        <w:name w:val="{f5ef314f-5efe-4494-a084-c26914d667ff}"/>
        <w:style w:val=""/>
        <w:category>
          <w:name w:val="常规"/>
          <w:gallery w:val="placeholder"/>
        </w:category>
        <w:types>
          <w:type w:val="bbPlcHdr"/>
        </w:types>
        <w:behaviors>
          <w:behavior w:val="content"/>
        </w:behaviors>
        <w:description w:val=""/>
        <w:guid w:val="{F5EF314F-5EFE-4494-A084-C26914D667F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175814"/>
    <w:rsid w:val="002C48B2"/>
    <w:rsid w:val="00386C30"/>
    <w:rsid w:val="00414314"/>
    <w:rsid w:val="005625DE"/>
    <w:rsid w:val="005E5A7C"/>
    <w:rsid w:val="00622B47"/>
    <w:rsid w:val="00774AF5"/>
    <w:rsid w:val="00774EDF"/>
    <w:rsid w:val="00790BAA"/>
    <w:rsid w:val="00915BC1"/>
    <w:rsid w:val="00C22551"/>
    <w:rsid w:val="00DC10A8"/>
    <w:rsid w:val="00FF0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608F4E646A47E69F8A2A764C4A4D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B95701C25164EFFA279C4F57EB9DD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B46F3-E22E-43A8-A2D3-5D641D1BF3A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15</Pages>
  <Words>6631</Words>
  <Characters>7995</Characters>
  <Lines>80</Lines>
  <Paragraphs>22</Paragraphs>
  <TotalTime>10</TotalTime>
  <ScaleCrop>false</ScaleCrop>
  <LinksUpToDate>false</LinksUpToDate>
  <CharactersWithSpaces>8458</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2021-08-05T00:34:00Z</dcterms:created>
  <dc:creator>40545</dc:creator>
  <dc:description>&lt;config cover="true" show_menu="true" version="1.0.0" doctype="SDKXY"&gt;_x000d_
&lt;/config&gt;</dc:description>
  <cp:lastModifiedBy>cesirohs</cp:lastModifiedBy>
  <cp:lastPrinted>2021-02-02T08:22:00Z</cp:lastPrinted>
  <dcterms:modified xsi:type="dcterms:W3CDTF">2023-09-18T06:08:42Z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2F87194E7E65473ABFAA6FA6CB7AD337</vt:lpwstr>
  </property>
</Properties>
</file>